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ВОЗВРАТЕ ГОСУДАРСТВЕННОЙ ПОШЛИНЫ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возврате государственной пошлины»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Пошлина уплачена в большем размере, заявление возвращено либо производство завершено на основании, допускающем возврат.</w:t>
      </w:r>
    </w:p>
    <w:p>
      <w:pPr>
        <w:keepNext w:val="0"/>
        <w:spacing w:before="0" w:after="80" w:line="276" w:lineRule="auto"/>
        <w:ind w:firstLine="709"/>
        <w:jc w:val="both"/>
      </w:pPr>
      <w:r>
        <w:rPr>
          <w:rFonts w:ascii="Times New Roman" w:hAnsi="Times New Roman" w:eastAsia="Times New Roman"/>
          <w:b w:val="0"/>
          <w:i w:val="0"/>
          <w:sz w:val="24"/>
        </w:rPr>
        <w:t>Приложены платежный документ, судебный акт и банковские реквизиты; сумма рассчитана точно с учетом невозвратной части.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88, 94, 98, 100 и 103.1 ГПК РФ, глава 25.3 НК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Возвратить из бюджета государственную пошлину в размере [сумма] руб., уплаченную по платежному документу [реквизиты].</w:t>
      </w:r>
    </w:p>
    <w:p>
      <w:pPr>
        <w:spacing w:after="60" w:line="276" w:lineRule="auto"/>
        <w:ind w:left="454" w:hanging="454"/>
        <w:jc w:val="both"/>
      </w:pPr>
      <w:r>
        <w:rPr>
          <w:rFonts w:ascii="Times New Roman" w:hAnsi="Times New Roman" w:eastAsia="Times New Roman"/>
          <w:b w:val="0"/>
          <w:i w:val="0"/>
          <w:sz w:val="24"/>
        </w:rPr>
        <w:t>2. Выдать справку / судебный акт, необходимый для возврата.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возврате государственной пошлины</dc:title>
  <dc:subject>Подробный образец № 149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