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ОТМЕНЕ РЕШЕНИЯ ТРЕТЕЙСКОГО СУДА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отмене решения третейского суда»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Заявитель ссылается на конкретное ограниченное основание отмены: отсутствие действительного соглашения, нарушение извещения, выход за пределы оговорки или публичный порядок.</w:t>
      </w:r>
    </w:p>
    <w:p>
      <w:pPr>
        <w:keepNext w:val="0"/>
        <w:spacing w:before="0" w:after="80" w:line="276" w:lineRule="auto"/>
        <w:ind w:firstLine="709"/>
        <w:jc w:val="both"/>
      </w:pPr>
      <w:r>
        <w:rPr>
          <w:rFonts w:ascii="Times New Roman" w:hAnsi="Times New Roman" w:eastAsia="Times New Roman"/>
          <w:b w:val="0"/>
          <w:i w:val="0"/>
          <w:sz w:val="24"/>
        </w:rPr>
        <w:t>Документ не предлагает государственному суду заново разрешить спор по существу.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решение третейского суда от [дата] по делу № [номер] полностью / в части.</w:t>
      </w:r>
    </w:p>
    <w:p>
      <w:pPr>
        <w:spacing w:after="60" w:line="276" w:lineRule="auto"/>
        <w:ind w:left="454" w:hanging="454"/>
        <w:jc w:val="both"/>
      </w:pPr>
      <w:r>
        <w:rPr>
          <w:rFonts w:ascii="Times New Roman" w:hAnsi="Times New Roman" w:eastAsia="Times New Roman"/>
          <w:b w:val="0"/>
          <w:i w:val="0"/>
          <w:sz w:val="24"/>
        </w:rPr>
        <w:t>2. Разрешить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Третейское соглашение и решение в надлежащей форме.</w:t>
      </w:r>
    </w:p>
    <w:p>
      <w:pPr>
        <w:spacing w:after="60" w:line="276" w:lineRule="auto"/>
        <w:ind w:left="454" w:hanging="454"/>
        <w:jc w:val="both"/>
      </w:pPr>
      <w:r>
        <w:rPr>
          <w:rFonts w:ascii="Times New Roman" w:hAnsi="Times New Roman" w:eastAsia="Times New Roman"/>
          <w:b w:val="0"/>
          <w:i w:val="0"/>
          <w:sz w:val="24"/>
        </w:rPr>
        <w:t>5. Доказательства извещения и добровольного неисполнения.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отмене решения третейского суда</dc:title>
  <dc:subject>Подробный образец № 134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