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Арбитражный суд города Москвы</w:t>
        <w:br/>
      </w:r>
      <w:r>
        <w:rPr>
          <w:rFonts w:ascii="Times New Roman" w:hAnsi="Times New Roman" w:eastAsia="Times New Roman"/>
          <w:b w:val="0"/>
          <w:i w:val="0"/>
          <w:sz w:val="21"/>
        </w:rPr>
        <w:t>115225, г. Москва, ул. Большая Тульская, д. 17</w:t>
        <w:br/>
      </w:r>
      <w:r>
        <w:rPr>
          <w:rFonts w:ascii="Times New Roman" w:hAnsi="Times New Roman" w:eastAsia="Times New Roman"/>
          <w:b w:val="0"/>
          <w:i w:val="0"/>
          <w:sz w:val="21"/>
        </w:rPr>
        <w:t>Истец / заявитель: [наименование, ИНН, ОГРН, адрес]</w:t>
        <w:br/>
      </w:r>
      <w:r>
        <w:rPr>
          <w:rFonts w:ascii="Times New Roman" w:hAnsi="Times New Roman" w:eastAsia="Times New Roman"/>
          <w:b w:val="0"/>
          <w:i w:val="0"/>
          <w:sz w:val="21"/>
        </w:rPr>
        <w:t>Ответчик: [наименование, ИНН, ОГРН,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УНИВЕРСАЛЬНОЕ ИСКОВОЕ ЗАЯВЛЕНИЕ В АРБИТРАЖНЫЙ СУД</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В основе спора лежит договор поставки № 15/П-2025. Истец передал товар на 2 480 000 руб., ответчик оплатил только 980 000 руб.; долг 1 500 000 руб.</w:t>
      </w:r>
    </w:p>
    <w:p>
      <w:pPr>
        <w:keepNext w:val="0"/>
        <w:spacing w:before="0" w:after="80" w:line="276" w:lineRule="auto"/>
        <w:ind w:firstLine="709"/>
        <w:jc w:val="both"/>
      </w:pPr>
      <w:r>
        <w:rPr>
          <w:rFonts w:ascii="Times New Roman" w:hAnsi="Times New Roman" w:eastAsia="Times New Roman"/>
          <w:b w:val="0"/>
          <w:i w:val="0"/>
          <w:sz w:val="24"/>
        </w:rPr>
        <w:t>Претензия от 10 июля 2025 года получена 15 июля 2025 года. В предусмотренный договором срок долг не погашен, мотивированный ответ и контррасчет не представлены.</w:t>
      </w:r>
    </w:p>
    <w:p>
      <w:pPr>
        <w:keepNext w:val="0"/>
        <w:spacing w:before="0" w:after="80" w:line="276" w:lineRule="auto"/>
        <w:ind w:firstLine="709"/>
        <w:jc w:val="both"/>
      </w:pPr>
      <w:r>
        <w:rPr>
          <w:rFonts w:ascii="Times New Roman" w:hAnsi="Times New Roman" w:eastAsia="Times New Roman"/>
          <w:b w:val="0"/>
          <w:i w:val="0"/>
          <w:sz w:val="24"/>
        </w:rPr>
        <w:t>До обращения проверены подсудность, срок исковой давности, цена иска, государственная пошлина, полномочия и направление копий участникам.</w:t>
      </w:r>
    </w:p>
    <w:p>
      <w:pPr>
        <w:keepNext w:val="0"/>
        <w:spacing w:before="0" w:after="80" w:line="276" w:lineRule="auto"/>
        <w:ind w:firstLine="709"/>
        <w:jc w:val="both"/>
      </w:pPr>
      <w:r>
        <w:rPr>
          <w:rFonts w:ascii="Times New Roman" w:hAnsi="Times New Roman" w:eastAsia="Times New Roman"/>
          <w:b w:val="0"/>
          <w:i w:val="0"/>
          <w:sz w:val="24"/>
        </w:rPr>
        <w:t>Для документа «Универсальное исковое заявление в арбитражный суд»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До обращения в суд истец проверил, имеется ли вступивший в силу судебный акт по тождественному спору, соглашение о подсудности или третейская оговорка, а также не возбуждено ли дело о банкротстве, влияющее на порядок предъявления требования. В иске отдельно раскрывается, почему спор относится именно к выбранному суду.</w:t>
      </w:r>
    </w:p>
    <w:p>
      <w:pPr>
        <w:keepNext w:val="0"/>
        <w:spacing w:before="0" w:after="80" w:line="276" w:lineRule="auto"/>
        <w:ind w:firstLine="709"/>
        <w:jc w:val="both"/>
      </w:pPr>
      <w:r>
        <w:rPr>
          <w:rFonts w:ascii="Times New Roman" w:hAnsi="Times New Roman" w:eastAsia="Times New Roman"/>
          <w:b w:val="0"/>
          <w:i w:val="0"/>
          <w:sz w:val="24"/>
        </w:rPr>
        <w:t>Цена иска формируется из самостоятельных элементов: основной долг, договорная неустойка, проценты, убытки и иные суммы. Каждый элемент имеет отдельное основание и расчет; судебные расходы в цену иска не включаются, если закон не предусматривает иное.</w:t>
      </w:r>
    </w:p>
    <w:p>
      <w:pPr>
        <w:keepNext w:val="0"/>
        <w:spacing w:before="0" w:after="80" w:line="276" w:lineRule="auto"/>
        <w:ind w:firstLine="709"/>
        <w:jc w:val="both"/>
      </w:pPr>
      <w:r>
        <w:rPr>
          <w:rFonts w:ascii="Times New Roman" w:hAnsi="Times New Roman" w:eastAsia="Times New Roman"/>
          <w:b w:val="0"/>
          <w:i w:val="0"/>
          <w:sz w:val="24"/>
        </w:rPr>
        <w:t>Истец требует взыскать с покупателя 1 500 000 руб. неоплаченной стоимости поставленного металлопроката, договорную неустойку по расчету и расходы по пошлине. Товар принят без замечаний, частично оплачен, обязательный претензионный срок истек.</w:t>
      </w:r>
    </w:p>
    <w:p>
      <w:pPr>
        <w:keepNext w:val="0"/>
        <w:spacing w:before="0" w:after="80" w:line="276" w:lineRule="auto"/>
        <w:ind w:firstLine="709"/>
        <w:jc w:val="both"/>
      </w:pPr>
      <w:r>
        <w:rPr>
          <w:rFonts w:ascii="Times New Roman" w:hAnsi="Times New Roman" w:eastAsia="Times New Roman"/>
          <w:b w:val="0"/>
          <w:i w:val="0"/>
          <w:sz w:val="24"/>
        </w:rPr>
        <w:t>Иск содержит сведения о договоре, каждой партии, сроке оплаты, частичных платежах и дате получения претензии. Цена иска рассчитана на дату подачи; дальнейшая неустойка заявляется только в допустимой и исполнимой формулировке.</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4, 27, 35, 125 и 126 АПК РФ регулируют обращение в арбитражный суд, форму и приложения к иску.</w:t>
      </w:r>
    </w:p>
    <w:p>
      <w:pPr>
        <w:keepNext w:val="0"/>
        <w:spacing w:before="0" w:after="80" w:line="276" w:lineRule="auto"/>
        <w:ind w:firstLine="709"/>
        <w:jc w:val="both"/>
      </w:pPr>
      <w:r>
        <w:rPr>
          <w:rFonts w:ascii="Times New Roman" w:hAnsi="Times New Roman" w:eastAsia="Times New Roman"/>
          <w:b w:val="0"/>
          <w:i w:val="0"/>
          <w:sz w:val="24"/>
        </w:rPr>
        <w:t>Статьи 309, 310, 314 и специальные нормы соответствующего договора ГК РФ определяют материально-правовые условия требований.</w:t>
      </w:r>
    </w:p>
    <w:p>
      <w:pPr>
        <w:keepNext w:val="0"/>
        <w:spacing w:before="0" w:after="80" w:line="276" w:lineRule="auto"/>
        <w:ind w:firstLine="709"/>
        <w:jc w:val="both"/>
      </w:pPr>
      <w:r>
        <w:rPr>
          <w:rFonts w:ascii="Times New Roman" w:hAnsi="Times New Roman" w:eastAsia="Times New Roman"/>
          <w:b w:val="0"/>
          <w:i w:val="0"/>
          <w:sz w:val="24"/>
        </w:rPr>
        <w:t>Глава 25.3 НК РФ регулирует государственную пошлину; ее размер и льготы проверяются на дату подачи.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4, 27, 35, 125–126 и 132 АПК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Принять иск к производству.</w:t>
      </w:r>
    </w:p>
    <w:p>
      <w:pPr>
        <w:spacing w:after="60" w:line="276" w:lineRule="auto"/>
        <w:ind w:left="454" w:hanging="454"/>
        <w:jc w:val="both"/>
      </w:pPr>
      <w:r>
        <w:rPr>
          <w:rFonts w:ascii="Times New Roman" w:hAnsi="Times New Roman" w:eastAsia="Times New Roman"/>
          <w:b w:val="0"/>
          <w:i w:val="0"/>
          <w:sz w:val="24"/>
        </w:rPr>
        <w:t>2. Удовлетворить требования в точной сумме и формулировке.</w:t>
      </w:r>
    </w:p>
    <w:p>
      <w:pPr>
        <w:spacing w:after="60" w:line="276" w:lineRule="auto"/>
        <w:ind w:left="454" w:hanging="454"/>
        <w:jc w:val="both"/>
      </w:pPr>
      <w:r>
        <w:rPr>
          <w:rFonts w:ascii="Times New Roman" w:hAnsi="Times New Roman" w:eastAsia="Times New Roman"/>
          <w:b w:val="0"/>
          <w:i w:val="0"/>
          <w:sz w:val="24"/>
        </w:rPr>
        <w:t>3. Взыскать пошлину и подтвержденные судебные расходы.</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Договор, приложения и дополнительные соглашения.</w:t>
      </w:r>
    </w:p>
    <w:p>
      <w:pPr>
        <w:spacing w:after="60" w:line="276" w:lineRule="auto"/>
        <w:ind w:left="454" w:hanging="454"/>
        <w:jc w:val="both"/>
      </w:pPr>
      <w:r>
        <w:rPr>
          <w:rFonts w:ascii="Times New Roman" w:hAnsi="Times New Roman" w:eastAsia="Times New Roman"/>
          <w:b w:val="0"/>
          <w:i w:val="0"/>
          <w:sz w:val="24"/>
        </w:rPr>
        <w:t>2. Первичные документы об исполнении: акты, УПД, накладные, платежные поручения.</w:t>
      </w:r>
    </w:p>
    <w:p>
      <w:pPr>
        <w:spacing w:after="60" w:line="276" w:lineRule="auto"/>
        <w:ind w:left="454" w:hanging="454"/>
        <w:jc w:val="both"/>
      </w:pPr>
      <w:r>
        <w:rPr>
          <w:rFonts w:ascii="Times New Roman" w:hAnsi="Times New Roman" w:eastAsia="Times New Roman"/>
          <w:b w:val="0"/>
          <w:i w:val="0"/>
          <w:sz w:val="24"/>
        </w:rPr>
        <w:t>3. Претензия и доказательства соблюдения досудебного порядка.</w:t>
      </w:r>
    </w:p>
    <w:p>
      <w:pPr>
        <w:spacing w:after="60" w:line="276" w:lineRule="auto"/>
        <w:ind w:left="454" w:hanging="454"/>
        <w:jc w:val="both"/>
      </w:pPr>
      <w:r>
        <w:rPr>
          <w:rFonts w:ascii="Times New Roman" w:hAnsi="Times New Roman" w:eastAsia="Times New Roman"/>
          <w:b w:val="0"/>
          <w:i w:val="0"/>
          <w:sz w:val="24"/>
        </w:rPr>
        <w:t>4. Подробный расчет цены иска и начислений.</w:t>
      </w:r>
    </w:p>
    <w:p>
      <w:pPr>
        <w:spacing w:after="60" w:line="276" w:lineRule="auto"/>
        <w:ind w:left="454" w:hanging="454"/>
        <w:jc w:val="both"/>
      </w:pPr>
      <w:r>
        <w:rPr>
          <w:rFonts w:ascii="Times New Roman" w:hAnsi="Times New Roman" w:eastAsia="Times New Roman"/>
          <w:b w:val="0"/>
          <w:i w:val="0"/>
          <w:sz w:val="24"/>
        </w:rPr>
        <w:t>5. Документ об уплате государственной пошлины / льготе.</w:t>
      </w:r>
    </w:p>
    <w:p>
      <w:pPr>
        <w:spacing w:after="60" w:line="276" w:lineRule="auto"/>
        <w:ind w:left="454" w:hanging="454"/>
        <w:jc w:val="both"/>
      </w:pPr>
      <w:r>
        <w:rPr>
          <w:rFonts w:ascii="Times New Roman" w:hAnsi="Times New Roman" w:eastAsia="Times New Roman"/>
          <w:b w:val="0"/>
          <w:i w:val="0"/>
          <w:sz w:val="24"/>
        </w:rPr>
        <w:t>6. Доказательства направления копии иска и приложений участникам.</w:t>
      </w:r>
    </w:p>
    <w:p>
      <w:pPr>
        <w:spacing w:after="60" w:line="276" w:lineRule="auto"/>
        <w:ind w:left="454" w:hanging="454"/>
        <w:jc w:val="both"/>
      </w:pPr>
      <w:r>
        <w:rPr>
          <w:rFonts w:ascii="Times New Roman" w:hAnsi="Times New Roman" w:eastAsia="Times New Roman"/>
          <w:b w:val="0"/>
          <w:i w:val="0"/>
          <w:sz w:val="24"/>
        </w:rPr>
        <w:t>7. Выписки / документы о статусе и адресах сторон.</w:t>
      </w:r>
    </w:p>
    <w:p>
      <w:pPr>
        <w:spacing w:after="60" w:line="276" w:lineRule="auto"/>
        <w:ind w:left="454" w:hanging="454"/>
        <w:jc w:val="both"/>
      </w:pPr>
      <w:r>
        <w:rPr>
          <w:rFonts w:ascii="Times New Roman" w:hAnsi="Times New Roman" w:eastAsia="Times New Roman"/>
          <w:b w:val="0"/>
          <w:i w:val="0"/>
          <w:sz w:val="24"/>
        </w:rPr>
        <w:t>8. Доверенность и документы о полномочиях подписанта.</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Универсальное исковое заявление в арбитражный суд</dc:title>
  <dc:subject>Подробный образец № 13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