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9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b/>
                <w:sz w:val="19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sz w:val="19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sz w:val="19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sz w:val="19"/>
              </w:rPr>
              <w:t>Заявитель: [должник / конкурсный кредитор] [Ф.И.О. / наименование]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sz w:val="19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ВОЗРАЖЕНИЯ ПРОТИВ ВОЗМЕЩЕНИЯ НЕОБОСНОВАННЫХ РАСХОДОВ ФИНАНСОВОГО УПРАВЛЯЮЩЕГО</w:t>
      </w:r>
    </w:p>
    <w:p>
      <w:r>
        <w:t>Финансовый управляющий просит возместить расходы в размере [сумма] руб. по перечню, приложенному к отчету / заявлению от [дата]. Заявитель не оспаривает право на возмещение действительно необходимых и документально подтвержденных затрат, однако возражает против спорных позиций на общую сумму [сумма] руб.</w:t>
      </w:r>
    </w:p>
    <w:p>
      <w:r>
        <w:t>К спорным расходам относятся: [услуги юриста, оценщика, организатора торгов, хранителя, транспортные расходы, почтовые расходы, связь, копирование, банковские комиссии, публикации, иное]. По отдельным позициям отсутствуют оригиналы платежных документов и акты; услуги дублируют обязанности управляющего; цена существенно превышает рыночную; результат не передан в материалы дела; расход совершен после отпадения необходимости.</w:t>
      </w:r>
    </w:p>
    <w:p>
      <w:r>
        <w:t>Статьи 20.6, 20.7 и 59 Закона о банкротстве допускают возмещение расходов, фактически понесенных при исполнении обязанностей и связанных с процедурой. Постановление Пленума ВАС РФ № 91 требует проверять необходимость, разумность, соразмерность и наличие средств. Бремя доказывания фактического несения и связи расхода с делом лежит на управляющем.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Привлечение специалиста допустимо, когда работа объективно требует специальных знаний или значительного объема. Нельзя перекладывать на конкурсную массу обычную переписку, подготовку стандартных ходатайств, ведение реестра, формирование отчета и иные основные обязанности управляющего без объяснения исключительных обстоятельств.</w:t>
      </w:r>
    </w:p>
    <w:p>
      <w:r>
        <w:t>Рыночность цены должна подтверждаться сравнением предложений, тарифами, сложностью и фактическим объемом. Договор и платеж сами по себе не доказывают разумность. При взаимозависимости исполнителя и управляющего необходим повышенный стандарт раскрытия выбора исполнителя и цены.</w:t>
      </w:r>
    </w:p>
    <w:p>
      <w:r>
        <w:t>Транспортные, гостиничные и суточные расходы возмещаются лишь при доказанной необходимости личного выезда и невозможности дистанционного совершения действия. Расходы на связь, канцелярию и технику должны быть индивидуализированы применительно к конкретному делу, а не распределены произвольно между процедурами.</w:t>
      </w:r>
    </w:p>
    <w:p>
      <w:r>
        <w:t>Необоснованное возмещение расходов уменьшает конкурсную массу и противоречит интересам кредиторов. До разрешения возражений спорные суммы не должны выплачиваться управляющему или привлеченным лицам.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отказать в возмещении расходов на сумму [сумма] руб. согласно прилагаемому контррасчету;</w:t>
      </w:r>
    </w:p>
    <w:p>
      <w:pPr>
        <w:pStyle w:val="RequestLine"/>
      </w:pPr>
      <w:r>
        <w:t>2. исключить расходы, не подтвержденные первичными документами, актами и доказательствами оплаты;</w:t>
      </w:r>
    </w:p>
    <w:p>
      <w:pPr>
        <w:pStyle w:val="RequestLine"/>
      </w:pPr>
      <w:r>
        <w:t>3. исключить расходы, дублирующие основные обязанности финансового управляющего либо не связанные с процедурой;</w:t>
      </w:r>
    </w:p>
    <w:p>
      <w:pPr>
        <w:pStyle w:val="RequestLine"/>
      </w:pPr>
      <w:r>
        <w:t>4. снизить до разумного рыночного уровня расходы по позициям [перечень];</w:t>
      </w:r>
    </w:p>
    <w:p>
      <w:pPr>
        <w:pStyle w:val="RequestLine"/>
      </w:pPr>
      <w:r>
        <w:t>5. обязать управляющего представить договоры, акты, платежные документы, результаты услуг и обоснование выбора исполнителей;</w:t>
      </w:r>
    </w:p>
    <w:p>
      <w:pPr>
        <w:pStyle w:val="RequestLine"/>
      </w:pPr>
      <w:r>
        <w:t>6. запретить выплату спорных сумм из конкурсной массы до вступления судебного акта в законную силу.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возражений;</w:t>
      </w:r>
    </w:p>
    <w:p>
      <w:pPr>
        <w:pStyle w:val="RequestLine"/>
      </w:pPr>
      <w:r>
        <w:t>2. перечень заявленных расходов;</w:t>
      </w:r>
    </w:p>
    <w:p>
      <w:pPr>
        <w:pStyle w:val="RequestLine"/>
      </w:pPr>
      <w:r>
        <w:t>3. контррасчет с классификацией спорных позиций;</w:t>
      </w:r>
    </w:p>
    <w:p>
      <w:pPr>
        <w:pStyle w:val="RequestLine"/>
      </w:pPr>
      <w:r>
        <w:t>4. коммерческие предложения и сведения о рыночных ценах;</w:t>
      </w:r>
    </w:p>
    <w:p>
      <w:pPr>
        <w:pStyle w:val="RequestLine"/>
      </w:pPr>
      <w:r>
        <w:t>5. доказательства отсутствия результата услуг;</w:t>
      </w:r>
    </w:p>
    <w:p>
      <w:pPr>
        <w:pStyle w:val="RequestLine"/>
      </w:pPr>
      <w:r>
        <w:t>6. документы о взаимозависимости при наличии;</w:t>
      </w:r>
    </w:p>
    <w:p>
      <w:pPr>
        <w:pStyle w:val="RequestLine"/>
      </w:pPr>
      <w:r>
        <w:t>7. доказательства направления возражений.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37" w:right="1020" w:bottom="692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0" w:lineRule="auto" w:after="10"/>
      <w:ind w:firstLine="709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20"/>
      <w:jc w:val="center"/>
    </w:pPr>
    <w:rPr>
      <w:rFonts w:ascii="Arial" w:hAnsi="Arial" w:eastAsia="Arial"/>
      <w:b/>
      <w:color w:val="17365D"/>
      <w:sz w:val="28"/>
    </w:rPr>
  </w:style>
  <w:style w:type="paragraph" w:customStyle="1" w:styleId="RequestLine">
    <w:name w:val="RequestLine"/>
    <w:pPr>
      <w:spacing w:after="10" w:line="240" w:lineRule="auto"/>
      <w:ind w:left="454" w:hanging="312"/>
      <w:jc w:val="both"/>
    </w:pPr>
    <w:rPr>
      <w:rFonts w:ascii="Times New Roman" w:hAnsi="Times New Roman" w:eastAsia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