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ТРЕБОВАНИЯ АФФИЛИРОВАННОГО КРЕДИТОРА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[Кредитор] заявил требование по договору займа от [дата] № [номер]. На дату заключения договора и в период его исполнения кредитор и должник входили в одну группу: [описать общих участников, руководителей, родственников, единый адрес, общий сайт, бухгалтерию, счета, переписку].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Аффилированность сама по себе не означает недействительность долга, однако существенно меняет стандарт доказывания. Связанные лица обладают возможностью оформить документы задним числом, проводить транзитные платежи и согласованно формировать задолженность, поэтому должны раскрыть экономическое содержание отношений.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Обзоре судебной практики разрешения споров, связанных с установлением в процедурах банкротства требований контролирующих должника и аффилированных с ним лиц, утвержденном Президиумом Верховного Суда Российской Федерации 29.01.2020, разъяснено, что после представления независимым участником косвенных доказательств, порождающих разумные сомнения в реальности долга, связанный с должником кредитор обязан исчерпывающе раскрыть обстоятельства заключения и исполнения сделки, источник денежных средств, экономическую цель финансирования и дальнейшее движение денег. Формального комплекта из договора, платежного документа и акта сверки недостаточно.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Представленные платежные поручения подтверждают лишь кратковременное поступление денег на счет должника. В тот же или следующий день средства перечислены [аффилированному лицу / обратно кредитору / участнику группы] без использования в деятельности должника. Активы должника не увеличились, а формальный долг перед связанным лицом возник.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не раскрыл источник средств. Его бухгалтерская отчетность, налоговые декларации и выписки не подтверждают наличие свободной ликвидности. Отсутствуют решения органов управления о выдаче займа, бизнес-план, переписка о потребности в финансировании, обеспечение и контроль возврата, характерные для независимого кредитора.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После наступления срока возврата кредитор длительное время не предпринимал действий по взысканию, продолжал финансировать должника и не начислял санкции либо начислил их только перед банкротством. Такое поведение может указывать на корпоративное, компенсационное финансирование в условиях имущественного кризиса.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Если денежные средства предоставлены для преодоления кризиса контролирующим лицом вместо внесения капитала, требование не должно конкурировать с независимыми кредиторами на общих основаниях. Суду надлежит определить момент возникновения кризиса, цели финансирования и степень контроля кредитора.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Акт сверки и признание долга подписаны взаимозависимыми лицами после возникновения признаков неплатежеспособности и не подтверждают реальную хозяйственную операцию. Документы бухгалтерского учета оцениваются в совокупности с движением денег и экономической логикой.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Независимые кредиторы представили достаточную совокупность косвенных доказательств: транзитный характер операций, отсутствие источника средств, общность контроля, нетипичное поведение займодавца и оформление документов незадолго до банкротства. Бремя устранения этих сомнений перешло к заявителю, но не исполнено.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аффилированному кредитору во включении требования как недоказанного и основанного на мнимой операции;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истребовать выписки по счетам всех участников движения денег, бухгалтерскую и налоговую отчетность, решения органов управления и документы об источнике финансирования;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 подтверждении факта финансирования исследовать его компенсационный характер и установить пониженную очередность удовлетворения;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не учитывать голоса заявителя при решении вопросов, в которых его участие создает конфликт интересов, в пределах, допускаемых законом и судебной практикой;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вызвать для пояснений руководителей и бухгалтеров должника и кредитора.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выписки из ЕГРЮЛ и сведения об аффилированности;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схема движения денежных средств;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банковские выписки;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бухгалтерская отчетность;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переписка и корпоративные документы;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