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3969"/>
        <w:gridCol w:w="5102"/>
      </w:tblGrid>
      <w:tr>
        <w:tc>
          <w:tcPr>
            <w:tcW w:type="dxa" w:w="3969"/>
            <w:vAlign w:val="top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0"/>
              </w:rPr>
            </w:r>
          </w:p>
        </w:tc>
        <w:tc>
          <w:tcPr>
            <w:tcW w:type="dxa" w:w="5102"/>
            <w:vAlign w:val="top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1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115225, г. Москва, ул. Большая Тульская, д. 17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Дело № [А40-________/20__]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Должник: [Ф.И.О. полностью]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дата и место рождения: [________]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ИНН: [________], СНИЛС: [________]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адрес: [________]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Финансовый управляющий: [Ф.И.О.]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адрес для корреспонденции: [________]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Кредитор: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ИНН/ОГРН: [при наличии]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адрес: [________]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Лицо, подающее документ: [должник / финансовый управляющий / кредитор]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адрес: [________]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электронная почта: [________]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телефон: [________]</w:t>
            </w:r>
          </w:p>
        </w:tc>
      </w:tr>
    </w:tbl>
    <w:p>
      <w:pPr>
        <w:spacing w:before="200" w:after="160"/>
        <w:ind w:firstLine="0"/>
        <w:jc w:val="center"/>
      </w:pPr>
      <w:r>
        <w:rPr>
          <w:rFonts w:ascii="Times New Roman" w:hAnsi="Times New Roman" w:eastAsia="Times New Roman"/>
          <w:b/>
          <w:sz w:val="28"/>
        </w:rPr>
        <w:t>ВОЗРАЖЕНИЯ ПРОТИВ ВКЛЮЧЕНИЯ ПРОЦЕНТОВ, НЕУСТОЙКИ И ШТРАФОВ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Кредитор заявил требование в размере [сумма] руб., включив в него проценты за пользование денежными средствами, повышенные проценты, неустойку, штрафы, комиссии и расходы. Основной долг составляет [сумма] руб., тогда как дополнительные начисления - [сумма] руб.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Расчет не отвечает требованиям проверяемости. В нем отсутствуют ежедневная база начисления, примененная ставка, даты изменения ставки, сведения о платежах и порядке их распределения. Не указано, какие суммы отнесены на основной долг, проценты, комиссии и санкции. Представленная итоговая таблица не позволяет воспроизвести результат.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Проценты могут быть установлены только в размере, прямо согласованном договором или предусмотренном законом. Одностороннее изменение ставки, включение платы за неоказанные услуги, сложных процентов и комиссий, не образующих самостоятельного встречного предоставления, не подтверждает денежное требование.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Неустойка рассчитана без учета фактического остатка долга и начислена одновременно с повышенными процентами, имеющими штрафную природу. Такое двойное взыскание за одно нарушение приводит к необоснованному обогащению. Суд вправе определить правовую природу каждого начисления независимо от его наименования.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С даты введения процедуры [реструктуризации долгов / реализации имущества] последствия просрочки определяются специальными нормами Закона о банкротстве. Начисление договорных неустоек, штрафов и иных финансовых санкций за последующий период не допускается; применимы правила о мораторных процентах в случаях, предусмотренных законом.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Финансовые санкции учитываются отдельно от основной задолженности и процентов и не предоставляют кредитору право голоса. Поэтому даже при установлении части санкций в судебном акте необходимо прямо разделить основной долг, договорные проценты и санкции.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На основании статьи 333 ГК РФ явно несоразмерная последствиям нарушения неустойка подлежит уменьшению. Длительность просрочки сама по себе не оправдывает санкцию, многократно превышающую ключевую ставку и размер основного долга. Следует учитывать отсутствие доказанных убытков кредитора, частичное исполнение и начисление процентов за пользование денежными средствами.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По статье 207 ГК РФ истечение давности по главному требованию влечет истечение давности по дополнительным требованиям. Кредитор не вправе обходить давность путем выделения процентов и неустойки в самостоятельное требование.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В силу статей 16, 71, 100, 213.8 и 213.24 Федерального закона от 26.10.2002 № 127-ФЗ «О несостоятельности (банкротстве)» требование кредитора может быть установлено только после проверки его существования, размера, правовой природы и очередности. Признание долга должником само по себе не освобождает кредитора от обязанности доказать фактические обстоятельства, на которых основано требование. В соответствии со статьями 65, 67, 68, 71 и 75 Арбитражного процессуального кодекса Российской Федерации каждое обстоятельство подтверждается относимыми, допустимыми и достоверными доказательствами, а копия документа при наличии спора о ее содержании или подлинности не заменяет оригинал.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Контррасчет выполнен исходя из документально подтвержденного остатка основного долга, согласованной ставки, фактических платежей и даты введения процедуры. По его результатам сумма допустимых процентов составляет не более [сумма] руб., а санкции подлежат отказу либо существенному снижению.</w:t>
      </w:r>
    </w:p>
    <w:p>
      <w:pPr>
        <w:spacing w:before="120"/>
        <w:ind w:firstLine="0"/>
      </w:pPr>
      <w:r>
        <w:rPr>
          <w:rFonts w:ascii="Times New Roman" w:hAnsi="Times New Roman" w:eastAsia="Times New Roman"/>
          <w:sz w:val="24"/>
        </w:rPr>
        <w:t>На основании изложенного, руководствуясь Федеральным законом «О несостоятельности (банкротстве)» и Арбитражным процессуальным кодексом Российской Федерации, прошу суд:</w:t>
      </w:r>
    </w:p>
    <w:p>
      <w:pPr>
        <w:spacing w:line="288" w:lineRule="auto" w:after="60"/>
        <w:ind w:left="369" w:hanging="369"/>
      </w:pPr>
      <w:r>
        <w:rPr>
          <w:rFonts w:ascii="Times New Roman" w:hAnsi="Times New Roman" w:eastAsia="Times New Roman"/>
          <w:sz w:val="24"/>
        </w:rPr>
        <w:t>1. отказать во включении неподтвержденных процентов, комиссий, штрафов и неустойки;</w:t>
      </w:r>
    </w:p>
    <w:p>
      <w:pPr>
        <w:spacing w:line="288" w:lineRule="auto" w:after="60"/>
        <w:ind w:left="369" w:hanging="369"/>
      </w:pPr>
      <w:r>
        <w:rPr>
          <w:rFonts w:ascii="Times New Roman" w:hAnsi="Times New Roman" w:eastAsia="Times New Roman"/>
          <w:sz w:val="24"/>
        </w:rPr>
        <w:t>2. исключить начисления за период после [дата введения процедуры];</w:t>
      </w:r>
    </w:p>
    <w:p>
      <w:pPr>
        <w:spacing w:line="288" w:lineRule="auto" w:after="60"/>
        <w:ind w:left="369" w:hanging="369"/>
      </w:pPr>
      <w:r>
        <w:rPr>
          <w:rFonts w:ascii="Times New Roman" w:hAnsi="Times New Roman" w:eastAsia="Times New Roman"/>
          <w:sz w:val="24"/>
        </w:rPr>
        <w:t>3. применить статью 333 ГК РФ и снизить неустойку до разумного размера [либо до суммы не более ___ руб.];</w:t>
      </w:r>
    </w:p>
    <w:p>
      <w:pPr>
        <w:spacing w:line="288" w:lineRule="auto" w:after="60"/>
        <w:ind w:left="369" w:hanging="369"/>
      </w:pPr>
      <w:r>
        <w:rPr>
          <w:rFonts w:ascii="Times New Roman" w:hAnsi="Times New Roman" w:eastAsia="Times New Roman"/>
          <w:sz w:val="24"/>
        </w:rPr>
        <w:t>4. учесть санкции отдельно от основного долга и процентов с указанием отсутствия права голоса по ним;</w:t>
      </w:r>
    </w:p>
    <w:p>
      <w:pPr>
        <w:spacing w:line="288" w:lineRule="auto" w:after="60"/>
        <w:ind w:left="369" w:hanging="369"/>
      </w:pPr>
      <w:r>
        <w:rPr>
          <w:rFonts w:ascii="Times New Roman" w:hAnsi="Times New Roman" w:eastAsia="Times New Roman"/>
          <w:sz w:val="24"/>
        </w:rPr>
        <w:t>5. принять контррасчет лица, заявившего возражения, либо предложить кредитору представить детальный помесячный и подневной расчет.</w:t>
      </w:r>
    </w:p>
    <w:p>
      <w:pPr>
        <w:spacing w:before="160"/>
        <w:ind w:firstLine="0"/>
      </w:pPr>
      <w:r>
        <w:rPr>
          <w:rFonts w:ascii="Times New Roman" w:hAnsi="Times New Roman" w:eastAsia="Times New Roman"/>
          <w:b/>
          <w:sz w:val="24"/>
        </w:rPr>
        <w:t>Приложения:</w:t>
      </w:r>
      <w:r>
        <w:rPr>
          <w:rFonts w:ascii="Times New Roman" w:hAnsi="Times New Roman" w:eastAsia="Times New Roman"/>
          <w:sz w:val="24"/>
        </w:rPr>
      </w:r>
    </w:p>
    <w:p>
      <w:pPr>
        <w:spacing w:line="276" w:lineRule="auto" w:after="40"/>
        <w:ind w:left="369" w:hanging="369"/>
      </w:pPr>
      <w:r>
        <w:rPr>
          <w:rFonts w:ascii="Times New Roman" w:hAnsi="Times New Roman" w:eastAsia="Times New Roman"/>
          <w:sz w:val="23"/>
        </w:rPr>
        <w:t>1. контррасчет;</w:t>
      </w:r>
    </w:p>
    <w:p>
      <w:pPr>
        <w:spacing w:line="276" w:lineRule="auto" w:after="40"/>
        <w:ind w:left="369" w:hanging="369"/>
      </w:pPr>
      <w:r>
        <w:rPr>
          <w:rFonts w:ascii="Times New Roman" w:hAnsi="Times New Roman" w:eastAsia="Times New Roman"/>
          <w:sz w:val="23"/>
        </w:rPr>
        <w:t>2. копия договора и тарифов;</w:t>
      </w:r>
    </w:p>
    <w:p>
      <w:pPr>
        <w:spacing w:line="276" w:lineRule="auto" w:after="40"/>
        <w:ind w:left="369" w:hanging="369"/>
      </w:pPr>
      <w:r>
        <w:rPr>
          <w:rFonts w:ascii="Times New Roman" w:hAnsi="Times New Roman" w:eastAsia="Times New Roman"/>
          <w:sz w:val="23"/>
        </w:rPr>
        <w:t>3. выписка по платежам;</w:t>
      </w:r>
    </w:p>
    <w:p>
      <w:pPr>
        <w:spacing w:line="276" w:lineRule="auto" w:after="40"/>
        <w:ind w:left="369" w:hanging="369"/>
      </w:pPr>
      <w:r>
        <w:rPr>
          <w:rFonts w:ascii="Times New Roman" w:hAnsi="Times New Roman" w:eastAsia="Times New Roman"/>
          <w:sz w:val="23"/>
        </w:rPr>
        <w:t>4. сведения о дате введения процедуры;</w:t>
      </w:r>
    </w:p>
    <w:p>
      <w:pPr>
        <w:spacing w:line="276" w:lineRule="auto" w:after="40"/>
        <w:ind w:left="369" w:hanging="369"/>
      </w:pPr>
      <w:r>
        <w:rPr>
          <w:rFonts w:ascii="Times New Roman" w:hAnsi="Times New Roman" w:eastAsia="Times New Roman"/>
          <w:sz w:val="23"/>
        </w:rPr>
        <w:t>5. доказательства направления возражений.</w:t>
      </w:r>
    </w:p>
    <w:p>
      <w:pPr>
        <w:spacing w:before="280"/>
        <w:ind w:firstLine="0"/>
      </w:pPr>
      <w:r>
        <w:t>[дата]                                      [подпись] / [Ф.И.О.]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1020" w:bottom="964" w:left="141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sz w:val="16"/>
      </w:rPr>
      <w:t xml:space="preserve">Образец требует адаптации к обстоятельствам дела  •  стр. </w:t>
    </w:r>
    <w:r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 w:eastAsia="Arial"/>
        <w:b/>
        <w:sz w:val="16"/>
      </w:rPr>
      <w:t>ZOTOWA.RU  |  БИБЛИОТЕКА ПРОЦЕССУАЛЬНЫХ ДОКУМЕНТОВ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line="300" w:lineRule="auto" w:after="80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