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НЕУСТОЙКИ ЗА ПРОСРОЧКУ УПЛАТЫ АЛИМЕНТОВ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установлена постановлением пристава / расчётом за период [даты]. Просрочка вызвана виновным поведением плательщика; расчёт неустойки прилагается по дням.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обязаны содержать несовершеннолетних детей. При отсутствии соглашения алименты взыскиваются в долях по статье 81 СК РФ либо в твёрдой денежной сумме по статье 83 СК РФ, если долевой порядок нарушает интересы ребёнка или доход плательщика нерегулярен.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алиментов может изменяться при существенном изменении материального или семейного положения. Дополнительные расходы взыскиваются по статье 86 СК РФ, задолженность и неустойка — по статьям 113 и 115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родство и возраст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отсутствие надлежащего содержания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доходы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разумные расходы ребёнка и расчёт заявленной суммы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вина плательщика и корректность дневного расчёта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неустойку за просрочку уплаты алиментов в размере [сумма] рублей согласно приложенному расчёту.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сведения о проживании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расчёт ежемесячных расходов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обращений за содержанием и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неустойки за просрочку уплаты алиментов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