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В ТВЁРДОЙ ДЕНЕЖНОЙ СУММЕ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Твёрдая сумма определяется с учётом максимально возможного сохранения прежнего уровня обеспечения ребёнка и обычно индексируется пропорционально росту прожиточного минимума для детей в соответствующем субъекте.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алименты в твёрдой денежной сумме [кратность прожиточного минимума / сумма] ежемесячно с индексацией.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в твёрдой денежной сумме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