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БРАЧНОГО ДОГОВОРА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Брачный договор заключается в письменной форме и нотариально удостоверяется. Статьи 40–44 СК РФ позволяют определить режим имеющегося и будущего имущества, участие в доходах, семейные расходы и имущественные последствия расторжения брака.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Договор не может ограничивать правоспособность, право на обращение в суд, регулировать личные неимущественные отношения и права детей, а также ставить одного супруга в крайне неблагоприятное положение. Изменение и расторжение совершаются в той же форме.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добровольность и дееспособность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полнота раскрытия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соответствие условий ограничениям статьи 42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нотариальная форма и отсутствие нарушения прав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Изменить / расторгнуть брачный договор от [дата] в указанной части.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последствия изменения / расторжения для имущества и обязательств сторон.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и личности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перечень имущества и обязательств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правоустанавливающие и кредитные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отчёты об оценке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брачного договора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