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ИЗМЕНЕНИИ БРАЧНОГО ДОГОВОРА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состоят / состояли в зарегистрированном браке с [дата]. Они намерены определить имущественные последствия брака и его прекращения без неопределённости и последующих споров.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Перечень имущества, прав, долгов, оценка, сроки передачи и компенсации согласованы в приложениях. Стороны раскрыли друг другу существенные сведения и подтверждают добровольность волеизъявления.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Брачный договор заключается в письменной форме и нотариально удостоверяется. Статьи 40–44 СК РФ позволяют определить режим имеющегося и будущего имущества, участие в доходах, семейные расходы и имущественные последствия расторжения брака.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Договор не может ограничивать правоспособность, право на обращение в суд, регулировать личные неимущественные отношения и права детей, а также ставить одного супруга в крайне неблагоприятное положение. Изменение и расторжение совершаются в той же форме.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добровольность и дееспособность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полнота раскрытия имущества и обязательств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соответствие условий ограничениям статьи 42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нотариальная форма и отсутствие нарушения прав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Изменить / расторгнуть брачный договор от [дата] в указанной части.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Определить последствия изменения / расторжения для имущества и обязательств сторон.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сведения о браке и личности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перечень имущества и обязательств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правоустанавливающие и кредитные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отчёты об оценке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изменении брачного договора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