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ЗАПРЕТЕ ОТЧУЖДЕНИЯ ДОЛИ В УСТАВНОМ КАПИТАЛЕ ОБЩЕСТВА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силу статей 139–144 ГПК РФ обеспечение иска возможно на любой стадии. Заявитель обязан показать реальную, а не абстрактную угрозу затруднения исполнения и соразмерность конкретной меры.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обеспечительную меру: [арест / запрет регистрационных действий / запрет отчуждения] в отношении [точное описание актива].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[Росреестр / ГИБДД / банк / ФНС].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реального риска отчуждения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точные идентифицирующие сведения об имуществе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запрете отчуждения доли в уставном капитале общества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