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ЗАПРЕТЕ РЕГИСТРАЦИОННЫХ ДЕЙСТВИЙ С АВТОМОБИЛЕМ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силу статей 139–144 ГПК РФ обеспечение иска возможно на любой стадии. Заявитель обязан показать реальную, а не абстрактную угрозу затруднения исполнения и соразмерность конкретной меры.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обеспечительную меру: [арест / запрет регистрационных действий / запрет отчуждения] в отношении [точное описание актива].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[Росреестр / ГИБДД / банк / ФНС].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реального риска отчуждения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точные идентифицирующие сведения об имуществе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запрете регистрационных действий с автомобилем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