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ДЕЙСТВИТЕЛЬНОЙ СТОИМОСТИ ЧАСТИ ДОЛИ СУПРУГА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брака супруг приобрёл / увеличил долю участия в [наименование общества, ОГРН] либо осуществлял предпринимательскую деятельность. Вложение общих средств и последующий доход подтверждаются [выписки, договоры, отчётность].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Истец не претендует на имущество самого юридического лица. Требование относится к корпоративному праву супруга, его стоимости, полученным доходам либо компенсации за отчуждение актива.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Принадлежащая супругу доля или акции, приобретённые за общие средства в период брака, могут входить в состав совместного имущества. При этом имущество юридического лица не является собственностью его участника и не подлежит разделу между супругами.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Способ защиты определяется с учётом статей 34–39 СК РФ, статьи 256 ГК РФ, корпоративного законодательства и устава общества. Суд оценивает возможность передачи части корпоративного права, ограничения для вступления в общество и целесообразность денежной компенсации.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момент и источник приобретения доли /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корпоративного права и ограничения устава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стоимость актива и полученные доходы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добросовестность приобретателя при отчуждении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корпоративный актив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компенсацию стоимости доли истца в размере [сумма] рублей.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ЕГРЮЛ / реестр акционеров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и корпоративные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договоры приобретения / отчуждения доли или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бухгалтерская отчётность и оценка корпоративного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действительной стоимости части доли супруга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