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БРАКА И ВЗЫСКАНИИ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между сторонами зарегистрирован «___» __________ 20___ года, актовая запись № [номер]. Совместная семейная жизнь фактически прекращена с [дата], общее хозяйство не ведётся, совместный бюджет отсутствует.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Причиной прекращения семьи являются [длительный конфликт, раздельное проживание, утрата взаимного доверия, иные обстоятельства]. Сохранение семьи и дальнейшая совместная жизнь невозможны.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сторон имеются общие несовершеннолетние дети: [Ф.И.О., даты рождения]. Вопросы их проживания, содержания и общения [согласованы / остаются спорными] в указанной в заявлении части.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 государственной регистрации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оснований для судебного или административного порядка расторжения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прекращение семейных отношений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общих несовершеннолетних детей и отсутствие препятствий по статье 17 СК РФ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Расторгнуть брак между сторонами.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алименты на ребёнка [Ф.И.О.] в размере [доля / твёрдая сумма] начиная со дня обращения в суд и до совершеннолетия.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брака и взыскании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