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ДЕНЕЖНОЙ КОМПЕНСАЦИИ ВМЕСТО ПЕРЕДАЧИ ДОЛИ В НЕДВИЖИМОСТИ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, приобретённое супругами в период брака за общие доходы, является их совместной собственностью независимо от того, на чьё имя оно оформлено. Правила установлены статьями 33–39 СК РФ и статьёй 256 Г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деле суд определяет состав имущества, источник и время его приобретения, наличие личных вложений, стоимость каждого объекта и способ раздела. По общему правилу доли равны, однако суд может отступить от равенства в случаях, предусмотренных пунктом 2 статьи 39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ремя, источник и основание приобретения недвиж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авовой режим объекта и наличие обремен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техническая делимост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ользование и интересы детей /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ый объект общим имуществом супруго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компенсацию в размере [сумма] рублей, соответствующую доле истц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Н и правоустанавливающ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говор приобретения, кредитные и платёж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тчёт об оценке / сведения о кадастровой сто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технический план и сведения об обремен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денежной компенсации вместо передачи доли в недвижимост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