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Третьи лица: [Росреестр / банк / общество / приобретатель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НЕДВИЖИМОСТИ ЛИЧНОЙ СОБСТВЕННОСТЬЮ ОДНОГО СУПРУГА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Спорный объект приобретён «___» __________ 20___ года в период брака за счёт [общих доходов / кредита / продажи другого имущества] и оформлен на имя [Ф.И.О.]. Его ориентировочная рыночная стоимость составляет [сумма] рублей.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о добровольном разделе не достигнуто. Ответчик [пользуется объектом единолично / распорядился им / отказывается предоставить сведения], вследствие чего право истца требует судебной защиты.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Личный характер имущества подтверждается тем, что оно приобретено [до брака / в дар / по наследству / за личные средства], а вклад общих средств не изменил его правовой режим либо не был существенным.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Имущество, приобретённое супругами в период брака за общие доходы, является их совместной собственностью независимо от того, на чьё имя оно оформлено. Правила установлены статьями 33–39 СК РФ и статьёй 256 ГК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разделе суд определяет состав имущества, источник и время его приобретения, наличие личных вложений, стоимость каждого объекта и способ раздела. По общему правилу доли равны, однако суд может отступить от равенства в случаях, предусмотренных пунктом 2 статьи 39 СК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время, источник и основание приобретения недвижимости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правовой режим объекта и наличие обременений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рыночная стоимость и техническая делимость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фактическое пользование и интересы детей / третьих лиц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наличие личного источника приобретения и отсутствие преобразования имущества общими вложениями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спорное имущество личной собственностью истца.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Исключить его из состава имущества, подлежащего разделу.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выписка ЕГРН и правоустанавливающие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договор приобретения, кредитные и платёжные документы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отчёт об оценке / сведения о кадастровой стоимости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технический план и сведения об обременениях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недвижимости личной собственностью одного супруга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