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УСТАНОВЛЕНИИ МАТЕРИНСТВА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Заключение эксперта оценивается вместе с другими доказательствами и не имеет заранее установленной силы. Уклонение стороны от экспертизы может повлечь последствия, предусмотренные частью 3 статьи 79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материнство [Ф.И.О.] в отношении ребёнка [Ф.И.О.] и обязать орган ЗАГС внести изменения.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установлении материнства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