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ОБРАЩЕНИИ ВЗЫСКАНИЯ НА ДЕБИТОРСКУЮ ЗАДОЛЖЕННОСТЬ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Денежных средств и ликвидного движимого имущества должника недостаточно. Это подтверждается ответами банков, актом выхода пристава, сведениями реестров и размером непогашенной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 должника имеется специальный актив: [недвижимость / транспорт / доля в ООО / акции / товарный знак / дебиторская задолженность / земельный участок / заложенное имущество / право требования]. Его идентифицирующие сведения и ориентировочная стоимость указаны в приложениях.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Актив не относится к имуществу, полностью исключённому из взыскания, либо заявитель просит суд определить допустимый объём взыскания. Предлагаемая мера соответствует размеру требований и позволяет перейти к реальному исполнению.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недостаточности денег взыскание обращается на иное имущество и имущественные права должника с соблюдением очередности и специальных правил. Для отдельных активов закон требует судебного акта либо участия регистратора, общества, Росреестра, депозитария или правообладателя.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долю в ООО возможно при недостаточности иного имущества и с учётом статьи 25 Федерального закона № 14-ФЗ. Взыскание на земельный участок обращается по решению суда. При работе с залогом учитываются приоритет залогодержателя и условия судебного акта.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на указанный актив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у регистратора / общества / правообладателя сведения и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Наложить запрет распоряжения и определить стоимость актива.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Организовать реализацию либо получение платежа по имущественному праву.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Зачесть поступившие средства в погашение задолженности.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Выписки ЕГРН / ЕГРЮЛ / реестра акционеров / Роспатента.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стоимости и обременениях актива.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отсутствия иного имущества.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обращении взыскания на дебиторскую задолженность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