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ОБРАЩЕНИИ ВЗЫСКАНИЯ НА ТРАНСПОРТНОЕ СРЕДСТВО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Денежных средств и ликвидного движимого имущества должника недостаточно. Это подтверждается ответами банков, актом выхода пристава, сведениями реестров и размером непогашенной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 должника имеется специальный актив: [недвижимость / транспорт / доля в ООО / акции / товарный знак / дебиторская задолженность / земельный участок / заложенное имущество / право требования]. Его идентифицирующие сведения и ориентировочная стоимость указаны в приложениях.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Актив не относится к имуществу, полностью исключённому из взыскания, либо заявитель просит суд определить допустимый объём взыскания. Предлагаемая мера соответствует размеру требований и позволяет перейти к реальному исполнению.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недостаточности денег взыскание обращается на иное имущество и имущественные права должника с соблюдением очередности и специальных правил. Для отдельных активов закон требует судебного акта либо участия регистратора, общества, Росреестра, депозитария или правообладателя.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долю в ООО возможно при недостаточности иного имущества и с учётом статьи 25 Федерального закона № 14-ФЗ. Взыскание на земельный участок обращается по решению суда. При работе с залогом учитываются приоритет залогодержателя и условия судебного акта.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на указанный актив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у регистратора / общества / правообладателя сведения и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Наложить запрет распоряжения и определить стоимость актива.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Организовать реализацию либо получение платежа по имущественному праву.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Зачесть поступившие средства в погашение задолженности.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Выписки ЕГРН / ЕГРЮЛ / реестра акционеров / Роспатента.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стоимости и обременениях актива.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отсутствия иного имущества.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обращении взыскания на транспортное средство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