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РАБОТОДАТЕЛЯ О СОЗДАНИИ СЛУЖЕБНОГО РЕЗУЛЬТАТА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041 | Раздел Сотрудники, разработчики и IT-команда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работодателя о создании служебного результата»;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Трудовой кодекс Российской Федерации</w:t>
      </w:r>
    </w:p>
    <w:p>
      <w:pPr>
        <w:pStyle w:val="ListBullet"/>
        <w:spacing w:after="40"/>
      </w:pPr>
      <w:r>
        <w:t>статья 1295 ГК РФ о служебных произведениях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работодателя о создании служебного результата»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работодателя о создании служебного результата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