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Times New Roman" w:hAnsi="Times New Roman"/>
          <w:b/>
          <w:color w:val="30495E"/>
          <w:sz w:val="30"/>
        </w:rPr>
        <w:t>ЛИЦЕНЗИОННЫЙ ДОГОВОР НА ИСПОЛЬЗОВАНИЕ ТОВАРНОГО ЗНАКА</w:t>
      </w:r>
    </w:p>
    <w:p>
      <w:pPr>
        <w:jc w:val="center"/>
      </w:pPr>
      <w:r>
        <w:rPr>
          <w:rFonts w:ascii="Times New Roman" w:hAnsi="Times New Roman"/>
          <w:i/>
          <w:color w:val="5A5A5A"/>
          <w:sz w:val="18"/>
        </w:rPr>
        <w:t>Документ № 173 | Раздел Товарные знаки, бренды и доменные имена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EF3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both"/>
            </w:pPr>
            <w:r>
              <w:rPr>
                <w:b/>
                <w:color w:val="30495E"/>
              </w:rPr>
              <w:t xml:space="preserve">Важно: </w:t>
            </w:r>
            <w:r>
              <w:t>образец предназначен для подготовки проекта документа. Перед подписанием, размещением на сайте или подачей в государственный орган необходимо проверить фактические обстоятельства, полномочия подписанта, подсудность, процессуальные сроки и действующую редакцию законодательства.</w:t>
            </w:r>
          </w:p>
        </w:tc>
      </w:tr>
    </w:tbl>
    <w:p/>
    <w:p>
      <w:pPr>
        <w:pStyle w:val="Heading1"/>
      </w:pPr>
      <w:r>
        <w:t>Назначение документа</w:t>
      </w:r>
    </w:p>
    <w:p>
      <w:pPr>
        <w:jc w:val="both"/>
      </w:pPr>
      <w:r>
        <w:t>Документ используется, чтобы подготовить мотивированный анализ фактов, правовых рисков и рекомендуемых действий. Поля в квадратных скобках заполняются фактическими данными; альтернативные положения, не относящиеся к ситуации, исключаются.</w:t>
      </w:r>
    </w:p>
    <w:p>
      <w:pPr>
        <w:pStyle w:val="Heading2"/>
      </w:pPr>
      <w:r>
        <w:t>Когда применять</w:t>
      </w:r>
    </w:p>
    <w:p>
      <w:pPr>
        <w:pStyle w:val="ListBullet"/>
        <w:spacing w:after="40"/>
      </w:pPr>
      <w:r>
        <w:t>при подготовке или проверке документа «Лицензионный договор на использование товарного знака»;</w:t>
      </w:r>
    </w:p>
    <w:p>
      <w:pPr>
        <w:pStyle w:val="ListBullet"/>
        <w:spacing w:after="40"/>
      </w:pPr>
      <w:r>
        <w:t>до совершения юридически значимых действий, передачи денежных средств, кода, данных, домена, учетных записей или исключительных прав;</w:t>
      </w:r>
    </w:p>
    <w:p>
      <w:pPr>
        <w:pStyle w:val="ListBullet"/>
        <w:spacing w:after="40"/>
      </w:pPr>
      <w:r>
        <w:t>при формировании доказательственного досье для переговоров, претензионной работы, проверки государственного органа или суда;</w:t>
      </w:r>
    </w:p>
    <w:p>
      <w:pPr>
        <w:pStyle w:val="ListBullet"/>
        <w:spacing w:after="40"/>
      </w:pPr>
      <w:r>
        <w:t>после проверки полномочий подписантов, применимого права, обязательной формы и порядка согласования.</w:t>
      </w:r>
    </w:p>
    <w:p>
      <w:pPr>
        <w:pStyle w:val="Heading2"/>
      </w:pPr>
      <w:r>
        <w:t>Правовая основа</w:t>
      </w:r>
    </w:p>
    <w:p>
      <w:pPr>
        <w:pStyle w:val="ListBullet"/>
        <w:spacing w:after="40"/>
      </w:pPr>
      <w:r>
        <w:t>Гражданский кодекс Российской Федерации (общие положения об обязательствах и договорах)</w:t>
      </w:r>
    </w:p>
    <w:p>
      <w:pPr>
        <w:pStyle w:val="ListBullet"/>
        <w:spacing w:after="40"/>
      </w:pPr>
      <w:r>
        <w:t>часть четвертая Гражданского кодекса Российской Федерации, включая нормы о программах для ЭВМ, базах данных, служебных произведениях, отчуждении и лицензировании исключительных прав</w:t>
      </w:r>
    </w:p>
    <w:p>
      <w:pPr>
        <w:pStyle w:val="ListBullet"/>
        <w:spacing w:after="40"/>
      </w:pPr>
      <w:r>
        <w:t>статьи 1477-1515 ГК РФ о товарных знаках</w:t>
      </w:r>
    </w:p>
    <w:p>
      <w:pPr>
        <w:pStyle w:val="ListBullet"/>
        <w:spacing w:after="40"/>
      </w:pPr>
      <w:r>
        <w:t>действующие Правила регистрации доменных имен в доменах .RU и .РФ - для доменных документов</w:t>
      </w:r>
    </w:p>
    <w:p>
      <w:pPr>
        <w:pStyle w:val="Heading2"/>
      </w:pPr>
      <w:r>
        <w:t>Ключевые вопросы для адаптации</w:t>
      </w:r>
    </w:p>
    <w:p>
      <w:pPr>
        <w:pStyle w:val="ListBullet"/>
        <w:spacing w:after="40"/>
      </w:pPr>
      <w:r>
        <w:t>приоритет и объем исключительного права</w:t>
      </w:r>
    </w:p>
    <w:p>
      <w:pPr>
        <w:pStyle w:val="ListBullet"/>
        <w:spacing w:after="40"/>
      </w:pPr>
      <w:r>
        <w:t>сходство обозначений и однородность товаров / услуг</w:t>
      </w:r>
    </w:p>
    <w:p>
      <w:pPr>
        <w:pStyle w:val="ListBullet"/>
        <w:spacing w:after="40"/>
      </w:pPr>
      <w:r>
        <w:t>добросовестность регистрации и использования</w:t>
      </w:r>
    </w:p>
    <w:p>
      <w:pPr>
        <w:pStyle w:val="ListBullet"/>
        <w:spacing w:after="40"/>
      </w:pPr>
      <w:r>
        <w:t>доказательства администрирования домена</w:t>
      </w:r>
    </w:p>
    <w:p>
      <w:pPr>
        <w:pStyle w:val="ListBullet"/>
        <w:spacing w:after="40"/>
      </w:pPr>
      <w:r>
        <w:t>способ защиты и исполнение судебного акта регистратором</w:t>
      </w:r>
    </w:p>
    <w:p>
      <w:pPr>
        <w:pStyle w:val="Heading1"/>
      </w:pPr>
      <w:r>
        <w:t>1. Исходные данные</w:t>
      </w:r>
    </w:p>
    <w:p>
      <w:pPr>
        <w:pStyle w:val="ListBullet"/>
        <w:spacing w:after="40"/>
      </w:pPr>
      <w:r>
        <w:t>Заказчик / инициатор: [___].</w:t>
      </w:r>
    </w:p>
    <w:p>
      <w:pPr>
        <w:pStyle w:val="ListBullet"/>
        <w:spacing w:after="40"/>
      </w:pPr>
      <w:r>
        <w:t>Проект / продукт: [___].</w:t>
      </w:r>
    </w:p>
    <w:p>
      <w:pPr>
        <w:pStyle w:val="ListBullet"/>
        <w:spacing w:after="40"/>
      </w:pPr>
      <w:r>
        <w:t>Цель анализа: [___].</w:t>
      </w:r>
    </w:p>
    <w:p>
      <w:pPr>
        <w:pStyle w:val="ListBullet"/>
        <w:spacing w:after="40"/>
      </w:pPr>
      <w:r>
        <w:t>Документы и данные, использованные при подготовке: [___].</w:t>
      </w:r>
    </w:p>
    <w:p>
      <w:pPr>
        <w:pStyle w:val="ListBullet"/>
        <w:spacing w:after="40"/>
      </w:pPr>
      <w:r>
        <w:t>Ограничения анализа и непроверенные предположения: [___].</w:t>
      </w:r>
    </w:p>
    <w:p>
      <w:pPr>
        <w:pStyle w:val="Heading1"/>
      </w:pPr>
      <w:r>
        <w:t>2. Вопросы анализа</w:t>
      </w:r>
    </w:p>
    <w:p>
      <w:pPr>
        <w:spacing w:after="40"/>
        <w:ind w:left="312" w:hanging="312"/>
      </w:pPr>
      <w:r>
        <w:t>1. приоритет и объем исключительного права</w:t>
      </w:r>
    </w:p>
    <w:p>
      <w:pPr>
        <w:spacing w:after="40"/>
        <w:ind w:left="312" w:hanging="312"/>
      </w:pPr>
      <w:r>
        <w:t>2. сходство обозначений и однородность товаров / услуг</w:t>
      </w:r>
    </w:p>
    <w:p>
      <w:pPr>
        <w:spacing w:after="40"/>
        <w:ind w:left="312" w:hanging="312"/>
      </w:pPr>
      <w:r>
        <w:t>3. добросовестность регистрации и использования</w:t>
      </w:r>
    </w:p>
    <w:p>
      <w:pPr>
        <w:spacing w:after="40"/>
        <w:ind w:left="312" w:hanging="312"/>
      </w:pPr>
      <w:r>
        <w:t>4. доказательства администрирования домена</w:t>
      </w:r>
    </w:p>
    <w:p>
      <w:pPr>
        <w:spacing w:after="40"/>
        <w:ind w:left="312" w:hanging="312"/>
      </w:pPr>
      <w:r>
        <w:t>5. способ защиты и исполнение судебного акта регистратором</w:t>
      </w:r>
    </w:p>
    <w:p>
      <w:pPr>
        <w:pStyle w:val="Heading1"/>
      </w:pPr>
      <w:r>
        <w:t>3. Установленные обстоятельства</w:t>
      </w:r>
    </w:p>
    <w:p>
      <w:pPr>
        <w:jc w:val="both"/>
      </w:pPr>
      <w:r>
        <w:t>Заявка № [___] подана [дата] в отношении [объект / обозначение].</w:t>
      </w:r>
    </w:p>
    <w:p>
      <w:pPr>
        <w:jc w:val="both"/>
      </w:pPr>
      <w:r>
        <w:t>Роспатентом направлен запрос / уведомление / решение от [___], в котором указано [___].</w:t>
      </w:r>
    </w:p>
    <w:p>
      <w:pPr>
        <w:jc w:val="both"/>
      </w:pPr>
      <w:r>
        <w:t>Заявитель представляет дополнительные материалы и поясняет соответствие заявленного объекта требованиям законодательства.</w:t>
      </w:r>
    </w:p>
    <w:p>
      <w:pPr>
        <w:pStyle w:val="Heading1"/>
      </w:pPr>
      <w:r>
        <w:t>4. Правовой анализ</w:t>
      </w:r>
    </w:p>
    <w:p>
      <w:pPr>
        <w:jc w:val="both"/>
      </w:pPr>
      <w:r>
        <w:t>При оценке применяется Гражданский кодекс Российской Федерации (общие положения об обязательствах и договорах). Необходимо разграничивать наличие формального документа и фактическое выполнение установленных законом и договором мер.</w:t>
      </w:r>
    </w:p>
    <w:p>
      <w:pPr>
        <w:jc w:val="both"/>
      </w:pPr>
      <w:r>
        <w:t>При оценке применяется часть четвертая Гражданского кодекса Российской Федерации, включая нормы о программах для ЭВМ, базах данных, служебных произведениях, отчуждении и лицензировании исключительных прав. Необходимо разграничивать наличие формального документа и фактическое выполнение установленных законом и договором мер.</w:t>
      </w:r>
    </w:p>
    <w:p>
      <w:pPr>
        <w:jc w:val="both"/>
      </w:pPr>
      <w:r>
        <w:t>При оценке применяется статьи 1477-1515 ГК РФ о товарных знаках. Необходимо разграничивать наличие формального документа и фактическое выполнение установленных законом и договором мер.</w:t>
      </w:r>
    </w:p>
    <w:p>
      <w:pPr>
        <w:jc w:val="both"/>
      </w:pPr>
      <w:r>
        <w:t>При оценке применяется действующие Правила регистрации доменных имен в доменах .RU и .РФ - для доменных документов. Необходимо разграничивать наличие формального документа и фактическое выполнение установленных законом и договором мер.</w:t>
      </w:r>
    </w:p>
    <w:p>
      <w:pPr>
        <w:jc w:val="both"/>
      </w:pPr>
      <w:r>
        <w:t>Ключевое значение имеют доказуемая цепочка прав, письменная постановка задач, критерии приемки, сохранность версий, идентификация участников, законность обработки данных и документирование управленческих решений.</w:t>
      </w:r>
    </w:p>
    <w:p>
      <w:pPr>
        <w:pStyle w:val="Heading1"/>
      </w:pPr>
      <w:r>
        <w:t>5. Матрица рисков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51"/>
        <w:gridCol w:w="2051"/>
        <w:gridCol w:w="2051"/>
        <w:gridCol w:w="2051"/>
        <w:gridCol w:w="2051"/>
      </w:tblGrid>
      <w:tr>
        <w:tc>
          <w:tcPr>
            <w:tcW w:type="dxa" w:w="2051"/>
            <w:shd w:fill="AEBFCB"/>
          </w:tcPr>
          <w:p>
            <w:r>
              <w:t>Риск</w:t>
            </w:r>
          </w:p>
        </w:tc>
        <w:tc>
          <w:tcPr>
            <w:tcW w:type="dxa" w:w="2051"/>
            <w:shd w:fill="AEBFCB"/>
          </w:tcPr>
          <w:p>
            <w:r>
              <w:t>Вероятность</w:t>
            </w:r>
          </w:p>
        </w:tc>
        <w:tc>
          <w:tcPr>
            <w:tcW w:type="dxa" w:w="2051"/>
            <w:shd w:fill="AEBFCB"/>
          </w:tcPr>
          <w:p>
            <w:r>
              <w:t>Последствия</w:t>
            </w:r>
          </w:p>
        </w:tc>
        <w:tc>
          <w:tcPr>
            <w:tcW w:type="dxa" w:w="2051"/>
            <w:shd w:fill="AEBFCB"/>
          </w:tcPr>
          <w:p>
            <w:r>
              <w:t>Доказательства</w:t>
            </w:r>
          </w:p>
        </w:tc>
        <w:tc>
          <w:tcPr>
            <w:tcW w:type="dxa" w:w="2051"/>
            <w:shd w:fill="AEBFCB"/>
          </w:tcPr>
          <w:p>
            <w:r>
              <w:t>Мера</w:t>
            </w:r>
          </w:p>
        </w:tc>
      </w:tr>
      <w:tr>
        <w:tc>
          <w:tcPr>
            <w:tcW w:type="dxa" w:w="2051"/>
          </w:tcPr>
          <w:p>
            <w:r>
              <w:t>Приоритет и объем исключительного права</w:t>
            </w:r>
          </w:p>
        </w:tc>
        <w:tc>
          <w:tcPr>
            <w:tcW w:type="dxa" w:w="2051"/>
          </w:tcPr>
          <w:p>
            <w:r>
              <w:t>[низкая / средняя / высокая]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Сходство обозначений и однородность товаров / услуг</w:t>
            </w:r>
          </w:p>
        </w:tc>
        <w:tc>
          <w:tcPr>
            <w:tcW w:type="dxa" w:w="2051"/>
          </w:tcPr>
          <w:p>
            <w:r>
              <w:t>[низкая / средняя / высокая]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Добросовестность регистрации и использования</w:t>
            </w:r>
          </w:p>
        </w:tc>
        <w:tc>
          <w:tcPr>
            <w:tcW w:type="dxa" w:w="2051"/>
          </w:tcPr>
          <w:p>
            <w:r>
              <w:t>[низкая / средняя / высокая]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Доказательства администрирования домена</w:t>
            </w:r>
          </w:p>
        </w:tc>
        <w:tc>
          <w:tcPr>
            <w:tcW w:type="dxa" w:w="2051"/>
          </w:tcPr>
          <w:p>
            <w:r>
              <w:t>[низкая / средняя / высокая]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Способ защиты и исполнение судебного акта регистратором</w:t>
            </w:r>
          </w:p>
        </w:tc>
        <w:tc>
          <w:tcPr>
            <w:tcW w:type="dxa" w:w="2051"/>
          </w:tcPr>
          <w:p>
            <w:r>
              <w:t>[низкая / средняя / высокая]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</w:tbl>
    <w:p>
      <w:pPr>
        <w:pStyle w:val="Heading1"/>
      </w:pPr>
      <w:r>
        <w:t>6. Выводы</w:t>
      </w:r>
    </w:p>
    <w:p>
      <w:pPr>
        <w:spacing w:after="40"/>
        <w:ind w:left="312" w:hanging="312"/>
      </w:pPr>
      <w:r>
        <w:t>1. Текущий уровень юридической готовности / риска: [___].</w:t>
      </w:r>
    </w:p>
    <w:p>
      <w:pPr>
        <w:spacing w:after="40"/>
        <w:ind w:left="312" w:hanging="312"/>
      </w:pPr>
      <w:r>
        <w:t>2. Критические нарушения, препятствующие запуску / сделке: [___].</w:t>
      </w:r>
    </w:p>
    <w:p>
      <w:pPr>
        <w:spacing w:after="40"/>
        <w:ind w:left="312" w:hanging="312"/>
      </w:pPr>
      <w:r>
        <w:t>3. Допустимые риски, принимаемые руководством письменно: [___].</w:t>
      </w:r>
    </w:p>
    <w:p>
      <w:pPr>
        <w:spacing w:after="40"/>
        <w:ind w:left="312" w:hanging="312"/>
      </w:pPr>
      <w:r>
        <w:t>4. Необходимые документы и действия до контрольной даты: [___].</w:t>
      </w:r>
    </w:p>
    <w:p>
      <w:pPr>
        <w:pStyle w:val="Heading1"/>
      </w:pPr>
      <w:r>
        <w:t>7. План действий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51"/>
        <w:gridCol w:w="2051"/>
        <w:gridCol w:w="2051"/>
        <w:gridCol w:w="2051"/>
        <w:gridCol w:w="2051"/>
      </w:tblGrid>
      <w:tr>
        <w:tc>
          <w:tcPr>
            <w:tcW w:type="dxa" w:w="2051"/>
            <w:shd w:fill="AEBFCB"/>
          </w:tcPr>
          <w:p>
            <w:r>
              <w:t>№</w:t>
            </w:r>
          </w:p>
        </w:tc>
        <w:tc>
          <w:tcPr>
            <w:tcW w:type="dxa" w:w="2051"/>
            <w:shd w:fill="AEBFCB"/>
          </w:tcPr>
          <w:p>
            <w:r>
              <w:t>Действие</w:t>
            </w:r>
          </w:p>
        </w:tc>
        <w:tc>
          <w:tcPr>
            <w:tcW w:type="dxa" w:w="2051"/>
            <w:shd w:fill="AEBFCB"/>
          </w:tcPr>
          <w:p>
            <w:r>
              <w:t>Ответственный</w:t>
            </w:r>
          </w:p>
        </w:tc>
        <w:tc>
          <w:tcPr>
            <w:tcW w:type="dxa" w:w="2051"/>
            <w:shd w:fill="AEBFCB"/>
          </w:tcPr>
          <w:p>
            <w:r>
              <w:t>Срок</w:t>
            </w:r>
          </w:p>
        </w:tc>
        <w:tc>
          <w:tcPr>
            <w:tcW w:type="dxa" w:w="2051"/>
            <w:shd w:fill="AEBFCB"/>
          </w:tcPr>
          <w:p>
            <w:r>
              <w:t>Результат</w:t>
            </w:r>
          </w:p>
        </w:tc>
      </w:tr>
      <w:tr>
        <w:tc>
          <w:tcPr>
            <w:tcW w:type="dxa" w:w="2051"/>
          </w:tcPr>
          <w:p>
            <w:r>
              <w:t>1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2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3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4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5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6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7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</w:tbl>
    <w:p/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Подготовил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Утвердил / принял риск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907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/>
    <w:r>
      <w:rPr>
        <w:rFonts w:ascii="Times New Roman" w:hAnsi="Times New Roman"/>
        <w:color w:val="646464"/>
        <w:sz w:val="16"/>
      </w:rPr>
      <w:t xml:space="preserve">Образец 2026 года. Требует адаптации и проверки актуальной редакции законодательства.   </w:t>
    </w:r>
    <w:r>
      <w:rPr>
        <w:rFonts w:ascii="Times New Roman" w:hAnsi="Times New Roman"/>
        <w:sz w:val="18"/>
      </w:rPr>
      <w:t xml:space="preserve">Страница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AEBFCB"/>
      </w:pBdr>
    </w:pPr>
    <w:r/>
    <w:r>
      <w:rPr>
        <w:rFonts w:ascii="Times New Roman" w:hAnsi="Times New Roman"/>
        <w:b/>
        <w:color w:val="30495E"/>
        <w:sz w:val="18"/>
      </w:rPr>
      <w:t>Юридическая фирма «Зотовы и партнеры» | IT и цифровое право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30495E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after="80"/>
    </w:pPr>
    <w:rPr>
      <w:rFonts w:ascii="Times New Roman" w:hAnsi="Times New Roman" w:eastAsia="Times New Roman"/>
      <w:i/>
      <w:color w:val="5A5A5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Лицензионный договор на использование товарного знака</dc:title>
  <dc:subject>IT и цифровое право - образец документа</dc:subject>
  <dc:creator>Юридическая фирма «Зотовы и партнеры»</dc:creator>
  <cp:keywords/>
  <dc:description>Образец 2026 года. Требует адаптации.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