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РАЗРАБОТЧИКА О НЕДОПУСТИМОЙ ЛИЦЕНЗИИ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158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разработчика о недопустимой лицензии»;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pStyle w:val="ListBullet"/>
        <w:spacing w:after="40"/>
      </w:pPr>
      <w:r>
        <w:t>идентификация компонентов и версий</w:t>
      </w:r>
    </w:p>
    <w:p>
      <w:pPr>
        <w:pStyle w:val="ListBullet"/>
        <w:spacing w:after="40"/>
      </w:pPr>
      <w:r>
        <w:t>условия лицензий и copyleft-обязательства</w:t>
      </w:r>
    </w:p>
    <w:p>
      <w:pPr>
        <w:pStyle w:val="ListBullet"/>
        <w:spacing w:after="40"/>
      </w:pPr>
      <w:r>
        <w:t>уведомления об авторстве и тексты лицензий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разработчика о недопустимой лицензии»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разработчика о недопустимой лицензии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