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Times New Roman" w:hAnsi="Times New Roman"/>
          <w:b/>
          <w:color w:val="30495E"/>
          <w:sz w:val="30"/>
        </w:rPr>
        <w:t>ТРЕБОВАНИЕ ПОЛЬЗОВАТЕЛЯ О ВОЗВРАТЕ ПЛАТЫ ЗА НЕРАБОТАЮЩИЙ СЕРВИС</w:t>
      </w:r>
    </w:p>
    <w:p>
      <w:pPr>
        <w:jc w:val="center"/>
      </w:pPr>
      <w:r>
        <w:rPr>
          <w:rFonts w:ascii="Times New Roman" w:hAnsi="Times New Roman"/>
          <w:i/>
          <w:color w:val="5A5A5A"/>
          <w:sz w:val="18"/>
        </w:rPr>
        <w:t>Документ № 105 | Раздел SaaS, PaaS, облачные и подписочные сервисы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256"/>
      </w:tblGrid>
      <w:tr>
        <w:tc>
          <w:tcPr>
            <w:tcW w:type="dxa" w:w="10256"/>
            <w:shd w:fill="EEF3F6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both"/>
            </w:pPr>
            <w:r>
              <w:rPr>
                <w:b/>
                <w:color w:val="30495E"/>
              </w:rPr>
              <w:t xml:space="preserve">Важно: </w:t>
            </w:r>
            <w:r>
              <w:t>образец предназначен для подготовки проекта документа. Перед подписанием, размещением на сайте или подачей в государственный орган необходимо проверить фактические обстоятельства, полномочия подписанта, подсудность, процессуальные сроки и действующую редакцию законодательства.</w:t>
            </w:r>
          </w:p>
        </w:tc>
      </w:tr>
    </w:tbl>
    <w:p/>
    <w:tbl>
      <w:tblPr>
        <w:tblW w:type="auto" w:w="0"/>
        <w:jc w:val="right"/>
        <w:tblLayout w:type="fixed"/>
        <w:tblLook w:firstColumn="1" w:firstRow="1" w:lastColumn="0" w:lastRow="0" w:noHBand="0" w:noVBand="1" w:val="04A0"/>
      </w:tblPr>
      <w:tblGrid>
        <w:gridCol w:w="4252"/>
        <w:gridCol w:w="5102"/>
      </w:tblGrid>
      <w:tr>
        <w:tc>
          <w:tcPr>
            <w:tcW w:type="dxa" w:w="5128"/>
          </w:tcPr>
          <w:p>
            <w:r/>
          </w:p>
        </w:tc>
        <w:tc>
          <w:tcPr>
            <w:tcW w:type="dxa" w:w="5128"/>
            <w:tcMar>
              <w:top w:w="70" w:type="dxa"/>
              <w:start w:w="120" w:type="dxa"/>
              <w:bottom w:w="70" w:type="dxa"/>
              <w:end w:w="120" w:type="dxa"/>
            </w:tcMar>
          </w:tcPr>
          <w:p>
            <w:r>
              <w:rPr>
                <w:b/>
              </w:rPr>
              <w:t>В [наименование компетентного органа / суда / должностного лица]</w:t>
            </w:r>
          </w:p>
          <w:p>
            <w:r>
              <w:t>от: [заявитель / лицо, подающее документ]</w:t>
            </w:r>
          </w:p>
          <w:p>
            <w:r>
              <w:t>адрес: [___]</w:t>
            </w:r>
          </w:p>
          <w:p>
            <w:r>
              <w:t>телефон: [___]</w:t>
            </w:r>
          </w:p>
          <w:p>
            <w:r>
              <w:t>электронная почта: [___]</w:t>
            </w:r>
          </w:p>
          <w:p>
            <w:r>
              <w:t>дело / материал / заявка № [___]</w:t>
            </w:r>
          </w:p>
        </w:tc>
      </w:tr>
    </w:tbl>
    <w:p/>
    <w:p>
      <w:pPr>
        <w:pStyle w:val="Heading1"/>
      </w:pPr>
      <w:r>
        <w:t>Назначение документа</w:t>
      </w:r>
    </w:p>
    <w:p>
      <w:pPr>
        <w:jc w:val="both"/>
      </w:pPr>
      <w:r>
        <w:t>Документ используется, чтобы реализовать процессуальное право заявителя и добиться принятия конкретного решения компетентным органом. Поля в квадратных скобках заполняются фактическими данными; альтернативные положения, не относящиеся к ситуации, исключаются.</w:t>
      </w:r>
    </w:p>
    <w:p>
      <w:pPr>
        <w:pStyle w:val="Heading2"/>
      </w:pPr>
      <w:r>
        <w:t>Когда применять</w:t>
      </w:r>
    </w:p>
    <w:p>
      <w:pPr>
        <w:pStyle w:val="ListBullet"/>
        <w:spacing w:after="40"/>
      </w:pPr>
      <w:r>
        <w:t>при подготовке или проверке документа «Требование пользователя о возврате платы за неработающий сервис»;</w:t>
      </w:r>
    </w:p>
    <w:p>
      <w:pPr>
        <w:pStyle w:val="ListBullet"/>
        <w:spacing w:after="40"/>
      </w:pPr>
      <w:r>
        <w:t>до совершения юридически значимых действий, передачи денежных средств, кода, данных, домена, учетных записей или исключительных прав;</w:t>
      </w:r>
    </w:p>
    <w:p>
      <w:pPr>
        <w:pStyle w:val="ListBullet"/>
        <w:spacing w:after="40"/>
      </w:pPr>
      <w:r>
        <w:t>при формировании доказательственного досье для переговоров, претензионной работы, проверки государственного органа или суда;</w:t>
      </w:r>
    </w:p>
    <w:p>
      <w:pPr>
        <w:pStyle w:val="ListBullet"/>
        <w:spacing w:after="40"/>
      </w:pPr>
      <w:r>
        <w:t>после проверки полномочий подписантов, применимого права, обязательной формы и порядка согласования.</w:t>
      </w:r>
    </w:p>
    <w:p>
      <w:pPr>
        <w:pStyle w:val="Heading2"/>
      </w:pPr>
      <w:r>
        <w:t>Правовая основа</w:t>
      </w:r>
    </w:p>
    <w:p>
      <w:pPr>
        <w:pStyle w:val="ListBullet"/>
        <w:spacing w:after="40"/>
      </w:pPr>
      <w:r>
        <w:t>Гражданский кодекс Российской Федерации и иные применимые нормативные акты</w:t>
      </w:r>
    </w:p>
    <w:p>
      <w:pPr>
        <w:pStyle w:val="Heading2"/>
      </w:pPr>
      <w:r>
        <w:t>Ключевые вопросы для адаптации</w:t>
      </w:r>
    </w:p>
    <w:p>
      <w:pPr>
        <w:pStyle w:val="ListBullet"/>
        <w:spacing w:after="40"/>
      </w:pPr>
      <w:r>
        <w:t>четкое описание цели документа</w:t>
      </w:r>
    </w:p>
    <w:p>
      <w:pPr>
        <w:pStyle w:val="ListBullet"/>
        <w:spacing w:after="40"/>
      </w:pPr>
      <w:r>
        <w:t>распределение полномочий и ответственности</w:t>
      </w:r>
    </w:p>
    <w:p>
      <w:pPr>
        <w:pStyle w:val="ListBullet"/>
        <w:spacing w:after="40"/>
      </w:pPr>
      <w:r>
        <w:t>перечень подтверждающих документов</w:t>
      </w:r>
    </w:p>
    <w:p>
      <w:pPr>
        <w:pStyle w:val="ListBullet"/>
        <w:spacing w:after="40"/>
      </w:pPr>
      <w:r>
        <w:t>порядок согласования, исполнения и контроля</w:t>
      </w:r>
    </w:p>
    <w:p>
      <w:pPr>
        <w:pStyle w:val="ListBullet"/>
        <w:spacing w:after="40"/>
      </w:pPr>
      <w:r>
        <w:t>срок действия и процедура изменения документа</w:t>
      </w:r>
    </w:p>
    <w:p>
      <w:pPr>
        <w:pStyle w:val="Heading1"/>
      </w:pPr>
      <w:r>
        <w:t>Фактические обстоятельства</w:t>
      </w:r>
    </w:p>
    <w:p>
      <w:pPr>
        <w:jc w:val="both"/>
      </w:pPr>
      <w:r>
        <w:t>1. [дата] между заинтересованными лицами возникли отношения в связи с IT-продуктом / цифровым сервисом [___].</w:t>
      </w:r>
    </w:p>
    <w:p>
      <w:pPr>
        <w:jc w:val="both"/>
      </w:pPr>
      <w:r>
        <w:t>2. Заявитель выполнил свои обязанности, что подтверждается договором, перепиской, актами, журналами системы и платежными документами.</w:t>
      </w:r>
    </w:p>
    <w:p>
      <w:pPr>
        <w:jc w:val="both"/>
      </w:pPr>
      <w:r>
        <w:t>3. Другая сторона / орган совершила действие или бездействие [___], нарушив права заявителя и создав последствия [___].</w:t>
      </w:r>
    </w:p>
    <w:p>
      <w:pPr>
        <w:jc w:val="both"/>
      </w:pPr>
      <w:r>
        <w:t>4. До обращения с настоящим документом заявитель предпринимал меры урегулирования [___].</w:t>
      </w:r>
    </w:p>
    <w:p>
      <w:pPr>
        <w:pStyle w:val="Heading1"/>
      </w:pPr>
      <w:r>
        <w:t>Правовое обоснование</w:t>
      </w:r>
    </w:p>
    <w:p>
      <w:pPr>
        <w:jc w:val="both"/>
      </w:pPr>
      <w:r>
        <w:t>К отношениям и процессуальным действиям применяются положения следующего источника: Гражданский кодекс Российской Федерации и иные применимые нормативные акты. Конкретные нормы указываются после проверки предмета спора, статуса сторон и редакции закона на дату подачи.</w:t>
      </w:r>
    </w:p>
    <w:p>
      <w:pPr>
        <w:jc w:val="both"/>
      </w:pPr>
      <w:r>
        <w:t>Заявитель действует добросовестно, представляет относимые доказательства и просит оценить их в совокупности. Формальный отказ без исследования технических материалов, переписки, журналов событий, цепочки прав и иных доказательств нарушит право на эффективную защиту.</w:t>
      </w:r>
    </w:p>
    <w:p>
      <w:pPr>
        <w:pStyle w:val="Heading1"/>
      </w:pPr>
      <w:r>
        <w:t>Доказательства и пояснения</w:t>
      </w:r>
    </w:p>
    <w:p>
      <w:pPr>
        <w:pStyle w:val="ListBullet"/>
        <w:spacing w:after="40"/>
      </w:pPr>
      <w:r>
        <w:t>договоры, приложения, технические задания, акты и платежные документы;</w:t>
      </w:r>
    </w:p>
    <w:p>
      <w:pPr>
        <w:pStyle w:val="ListBullet"/>
        <w:spacing w:after="40"/>
      </w:pPr>
      <w:r>
        <w:t>переписка сторон, уведомления, данные ЭДО и подтверждения доставки;</w:t>
      </w:r>
    </w:p>
    <w:p>
      <w:pPr>
        <w:pStyle w:val="ListBullet"/>
        <w:spacing w:after="40"/>
      </w:pPr>
      <w:r>
        <w:t>репозитории, история коммитов, журналы системы, контрольные суммы и технические отчеты;</w:t>
      </w:r>
    </w:p>
    <w:p>
      <w:pPr>
        <w:pStyle w:val="ListBullet"/>
        <w:spacing w:after="40"/>
      </w:pPr>
      <w:r>
        <w:t>документы о правообладании, служебных заданиях, передаче прав и лицензиях компонентов;</w:t>
      </w:r>
    </w:p>
    <w:p>
      <w:pPr>
        <w:pStyle w:val="ListBullet"/>
        <w:spacing w:after="40"/>
      </w:pPr>
      <w:r>
        <w:t>нотариальные протоколы осмотра, заключения специалистов и иные допустимые доказательства;</w:t>
      </w:r>
    </w:p>
    <w:p>
      <w:pPr>
        <w:pStyle w:val="ListBullet"/>
        <w:spacing w:after="40"/>
      </w:pPr>
      <w:r>
        <w:t>доказательства соблюдения досудебного / административного порядка и процессуального срока.</w:t>
      </w:r>
    </w:p>
    <w:p>
      <w:pPr>
        <w:pStyle w:val="Heading1"/>
      </w:pPr>
      <w:r>
        <w:t>Прошу</w:t>
      </w:r>
    </w:p>
    <w:p>
      <w:pPr>
        <w:spacing w:after="40"/>
        <w:ind w:left="312" w:hanging="312"/>
      </w:pPr>
      <w:r>
        <w:t>1. Рассмотреть документ по существу.</w:t>
      </w:r>
    </w:p>
    <w:p>
      <w:pPr>
        <w:spacing w:after="40"/>
        <w:ind w:left="312" w:hanging="312"/>
      </w:pPr>
      <w:r>
        <w:t>2. Удовлетворить изложенные требования: [___].</w:t>
      </w:r>
    </w:p>
    <w:p>
      <w:pPr>
        <w:spacing w:after="40"/>
        <w:ind w:left="312" w:hanging="312"/>
      </w:pPr>
      <w:r>
        <w:t>3. Сообщить о принятом решении в установленный срок.</w:t>
      </w:r>
    </w:p>
    <w:p>
      <w:pPr>
        <w:pStyle w:val="Heading1"/>
      </w:pPr>
      <w:r>
        <w:t>Приложения</w:t>
      </w:r>
    </w:p>
    <w:p>
      <w:pPr>
        <w:spacing w:after="40"/>
        <w:ind w:left="312" w:hanging="312"/>
      </w:pPr>
      <w:r>
        <w:t>1. Копия оспариваемого документа / договора / решения.</w:t>
      </w:r>
    </w:p>
    <w:p>
      <w:pPr>
        <w:spacing w:after="40"/>
        <w:ind w:left="312" w:hanging="312"/>
      </w:pPr>
      <w:r>
        <w:t>2. Документы, подтверждающие полномочия подписанта.</w:t>
      </w:r>
    </w:p>
    <w:p>
      <w:pPr>
        <w:spacing w:after="40"/>
        <w:ind w:left="312" w:hanging="312"/>
      </w:pPr>
      <w:r>
        <w:t>3. Доказательства фактических обстоятельств по описи.</w:t>
      </w:r>
    </w:p>
    <w:p>
      <w:pPr>
        <w:spacing w:after="40"/>
        <w:ind w:left="312" w:hanging="312"/>
      </w:pPr>
      <w:r>
        <w:t>4. Расчет требований - при наличии.</w:t>
      </w:r>
    </w:p>
    <w:p>
      <w:pPr>
        <w:spacing w:after="40"/>
        <w:ind w:left="312" w:hanging="312"/>
      </w:pPr>
      <w:r>
        <w:t>5. Доказательства направления копии документа заинтересованным лицам.</w:t>
      </w:r>
    </w:p>
    <w:p>
      <w:pPr>
        <w:spacing w:after="40"/>
        <w:ind w:left="312" w:hanging="312"/>
      </w:pPr>
      <w:r>
        <w:t>6. Документ об уплате государственной пошлины - если требуется.</w:t>
      </w:r>
    </w:p>
    <w:p>
      <w:pPr>
        <w:jc w:val="right"/>
      </w:pPr>
      <w:r>
        <w:t>Дата: «___» __________ 2026 г.                            Подпись: __________ / [Ф.И.О.]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07" w:right="850" w:bottom="850" w:left="1134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/>
    <w:r>
      <w:rPr>
        <w:rFonts w:ascii="Times New Roman" w:hAnsi="Times New Roman"/>
        <w:color w:val="646464"/>
        <w:sz w:val="16"/>
      </w:rPr>
      <w:t xml:space="preserve">Образец 2026 года. Требует адаптации и проверки актуальной редакции законодательства.   </w:t>
    </w:r>
    <w:r>
      <w:rPr>
        <w:rFonts w:ascii="Times New Roman" w:hAnsi="Times New Roman"/>
        <w:sz w:val="18"/>
      </w:rPr>
      <w:t xml:space="preserve">Страница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AEBFCB"/>
      </w:pBdr>
    </w:pPr>
    <w:r/>
    <w:r>
      <w:rPr>
        <w:rFonts w:ascii="Times New Roman" w:hAnsi="Times New Roman"/>
        <w:b/>
        <w:color w:val="30495E"/>
        <w:sz w:val="18"/>
      </w:rPr>
      <w:t>Юридическая фирма «Зотовы и партнеры» | IT и цифровое право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30495E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egalNote">
    <w:name w:val="Legal Note"/>
    <w:pPr>
      <w:spacing w:after="80"/>
    </w:pPr>
    <w:rPr>
      <w:rFonts w:ascii="Times New Roman" w:hAnsi="Times New Roman" w:eastAsia="Times New Roman"/>
      <w:i/>
      <w:color w:val="5A5A5A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Требование пользователя о возврате платы за неработающий сервис</dc:title>
  <dc:subject>IT и цифровое право - образец документа</dc:subject>
  <dc:creator>Юридическая фирма «Зотовы и партнеры»</dc:creator>
  <cp:keywords/>
  <dc:description>Образец 2026 года. Требует адаптации.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