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062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04. Внутреннее расследование</w:t>
            </w:r>
          </w:p>
        </w:tc>
      </w:tr>
    </w:tbl>
    <w:p>
      <w:pPr>
        <w:pStyle w:val="Title"/>
        <w:jc w:val="center"/>
      </w:pPr>
      <w:r>
        <w:t>ПЛАН ВНУТРЕННЕГО РАССЛЕДОВАНИЯ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ТК РФ (статьи 192-193); Федеральный закон № 402-ФЗ; Федеральный закон № 98-ФЗ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Цель</w:t>
      </w:r>
    </w:p>
    <w:p>
      <w:pPr>
        <w:ind w:firstLine="397"/>
      </w:pPr>
      <w:r>
        <w:rPr>
          <w:rFonts w:ascii="Times New Roman" w:hAnsi="Times New Roman"/>
          <w:sz w:val="22"/>
        </w:rPr>
        <w:t>Организовать последовательные действия по задаче: план внутреннего расследования, определить сроки, ответственных, контрольные точки и доказательства выполнения.</w:t>
      </w:r>
    </w:p>
    <w:p>
      <w:pPr>
        <w:pStyle w:val="Heading1"/>
      </w:pPr>
      <w:r>
        <w:t>Рабочий план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71"/>
        <w:gridCol w:w="1671"/>
        <w:gridCol w:w="1671"/>
        <w:gridCol w:w="1671"/>
        <w:gridCol w:w="1671"/>
        <w:gridCol w:w="1671"/>
      </w:tblGrid>
      <w:tr>
        <w:tc>
          <w:tcPr>
            <w:tcW w:type="dxa" w:w="1671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№</w:t>
            </w:r>
          </w:p>
        </w:tc>
        <w:tc>
          <w:tcPr>
            <w:tcW w:type="dxa" w:w="1671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Задача</w:t>
            </w:r>
          </w:p>
        </w:tc>
        <w:tc>
          <w:tcPr>
            <w:tcW w:type="dxa" w:w="1671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Срок</w:t>
            </w:r>
          </w:p>
        </w:tc>
        <w:tc>
          <w:tcPr>
            <w:tcW w:type="dxa" w:w="1671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Ответственный</w:t>
            </w:r>
          </w:p>
        </w:tc>
        <w:tc>
          <w:tcPr>
            <w:tcW w:type="dxa" w:w="1671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Результат</w:t>
            </w:r>
          </w:p>
        </w:tc>
        <w:tc>
          <w:tcPr>
            <w:tcW w:type="dxa" w:w="1671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Статус</w:t>
            </w:r>
          </w:p>
        </w:tc>
      </w:tr>
      <w:tr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назначить координатора и адвоката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☐</w:t>
            </w:r>
          </w:p>
        </w:tc>
      </w:tr>
      <w:tr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сохранить документы и электронные данные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☐</w:t>
            </w:r>
          </w:p>
        </w:tc>
      </w:tr>
      <w:tr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проверить: предмет и пределы проверки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☐</w:t>
            </w:r>
          </w:p>
        </w:tc>
      </w:tr>
      <w:tr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проверить: сохранность доказательств и конфиденциальность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☐</w:t>
            </w:r>
          </w:p>
        </w:tc>
      </w:tr>
      <w:tr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проверить: отделение фактов от оценочных выводов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☐</w:t>
            </w:r>
          </w:p>
        </w:tc>
      </w:tr>
      <w:tr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сформировать процессуальную позицию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☐</w:t>
            </w:r>
          </w:p>
        </w:tc>
      </w:tr>
      <w:tr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подготовить и подать необходимые документы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☐</w:t>
            </w:r>
          </w:p>
        </w:tc>
      </w:tr>
      <w:tr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контролировать исполнение и сроки обжалования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☐</w:t>
            </w:r>
          </w:p>
        </w:tc>
      </w:tr>
    </w:tbl>
    <w:p>
      <w:pPr>
        <w:pStyle w:val="Heading1"/>
      </w:pPr>
      <w:r>
        <w:t>Контрольные точки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24 часа - сохранены доказательства и определена первичная позиция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3 суток - подготовлены первичные ходатайства, объяснения или жалобы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10 суток - устранены критические пробелы и получены независимые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еженедельно - обновляется карта рисков и перечень процессуальных сроков</w:t>
      </w:r>
    </w:p>
    <w:p/>
    <w:p>
      <w:r>
        <w:rPr>
          <w:rFonts w:ascii="Times New Roman" w:hAnsi="Times New Roman"/>
          <w:sz w:val="20"/>
        </w:rPr>
        <w:t>Координатор: __________________ / [Ф.И.О.] /    «___» __________ 2026 г.</w:t>
      </w:r>
    </w:p>
    <w:p>
      <w:r>
        <w:rPr>
          <w:rFonts w:ascii="Times New Roman" w:hAnsi="Times New Roman"/>
          <w:sz w:val="20"/>
        </w:rPr>
        <w:t>Руководитель: __________________ / [Ф.И.О.] /    «___» __________ 2026 г.</w:t>
      </w:r>
    </w:p>
    <w:p>
      <w:r>
        <w:rPr>
          <w:rFonts w:ascii="Times New Roman" w:hAnsi="Times New Roman"/>
          <w:sz w:val="20"/>
        </w:rPr>
        <w:t>Адвокат / юридическая служба: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внутреннего расследования</dc:title>
  <dc:subject>04. Внутреннее расследование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