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057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03. Экстренные инструкции при визите правоохранительных органов</w:t>
            </w:r>
          </w:p>
        </w:tc>
      </w:tr>
    </w:tbl>
    <w:p>
      <w:pPr>
        <w:pStyle w:val="Title"/>
        <w:jc w:val="center"/>
      </w:pPr>
      <w:r>
        <w:t>ФОРМА ВНУТРЕННЕГО СООБЩЕНИЯ О ВЫЗОВЕ СОТРУДНИКА НА ДОПРОС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Федеральный закон от 12.08.1995 № 144-ФЗ; Федеральный закон от 07.02.2011 № 3-ФЗ; УПК РФ (статьи 56, 86, 166-167, 187-192); статья 51 Конституции РФ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ФОРМА ВНУТРЕННЕГО СООБЩЕНИЯ О ВЫЗОВЕ СОТРУДНИКА НА ДОПРОС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Процессуальный статус и пределы обязанности отвечать.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Точность формулировок и отсутствие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протокола построчно до подписания.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Федеральный закон от 12.08.1995 № 144-ФЗ; Федеральный закон от 07.02.2011 № 3-ФЗ; УПК РФ (статьи 56, 86, 166-167, 187-192); статья 51 Конституции РФ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внутреннего сообщения о вызове сотрудника на допрос</dc:title>
  <dc:subject>03. Экстренные инструкции при визите правоохранительных органов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