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388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21. Корпоративные, банкротные и уголовные риски</w:t>
            </w:r>
          </w:p>
        </w:tc>
      </w:tr>
    </w:tbl>
    <w:p>
      <w:pPr>
        <w:pStyle w:val="Title"/>
        <w:jc w:val="center"/>
      </w:pPr>
      <w:r>
        <w:t>ПИСЬМЕННАЯ ПОЗИЦИЯ ПО ИСПОЛНЕНИЮ ТРЕБОВАНИЙ ОТДЕЛЬНЫХ КРЕДИТОРОВ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Последовательное изложение фактов и доказательств для исключения неверной уголовно-правовой оценки хозяйственной деятельности.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ГК РФ (статьи 1, 10, 53.1); Постановление Пленума ВС РФ от 15.11.2016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ПИСЬМЕННАЯ ПОЗИЦИЯ ПО ИСПОЛНЕНИЮ ТРЕБОВАНИЙ ОТДЕЛЬНЫХ КРЕДИТОРОВ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ГК РФ (статьи 1, 10, 53.1); Постановление Пленума ВС РФ от 15.11.2016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Письменная позиция по исполнению требований отдельных кредиторов</dc:title>
  <dc:subject>21. Корпоративные, банкротные и уголовные риски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