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383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21. Корпоративные, банкротные и уголовные риски</w:t>
            </w:r>
          </w:p>
        </w:tc>
      </w:tr>
    </w:tbl>
    <w:p>
      <w:pPr>
        <w:pStyle w:val="Title"/>
        <w:jc w:val="center"/>
      </w:pPr>
      <w:r>
        <w:t>КАРТА РИСКОВ ПО СТАТЬЯМ 195-197 УК РФ ПРИ БАНКРОТСТВЕ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Шкала оценки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Вероятность: 1 - маловероятно; 2 - возможно; 3 - вероятно; 4 - весьма вероятно.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Последствия: 1 - незначительные; 2 - существенные; 3 - критические; 4 - угроза деятельности и личной ответственности.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Итоговый балл = вероятность x последствия. Балл 9-16 требует немедленного плана мер.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33"/>
        <w:gridCol w:w="1433"/>
        <w:gridCol w:w="1433"/>
        <w:gridCol w:w="1433"/>
        <w:gridCol w:w="1433"/>
        <w:gridCol w:w="1433"/>
        <w:gridCol w:w="1433"/>
      </w:tblGrid>
      <w:tr>
        <w:trPr>
          <w:tblHeader w:val="true"/>
        </w:trPr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Риск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Факты / индикаторы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Вер.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Посл.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Балл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Контроль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Ответственный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Момент возникновения неплатежеспособности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Экономическая обоснованность сделок и платежей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Разграничение предпринимательского риска и умышленных действий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Неполнота первичных документов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Неопределенность полномочий и согласований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Несоответствие платежей экономическому содержанию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Утрата либо изменение электронных данных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Конфликт интересов или аффилированность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</w:tbl>
    <w:p>
      <w:pPr>
        <w:pStyle w:val="Heading1"/>
      </w:pPr>
      <w:r>
        <w:t>Обязательные меры по высокому риску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приостановить спорное действие до проверки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обеспечить сохранность оригиналов и электронных данных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получить независимое правовое или экспертное заключение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разделить функции согласования и исполнения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зафиксировать мотивы и доказательства принятого решения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Проверил: __________________ / [Ф.И.О.] /    «___» __________ 2026 г.</w:t>
      </w:r>
    </w:p>
    <w:p>
      <w:r>
        <w:rPr>
          <w:rFonts w:ascii="Times New Roman" w:hAnsi="Times New Roman"/>
          <w:sz w:val="20"/>
        </w:rPr>
        <w:t>Утвердил: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рисков по статьям 195-197 УК РФ при банкротстве</dc:title>
  <dc:subject>21. Корпоративные, банкротные и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