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379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21. Корпоративные, банкротные и уголовные риски</w:t>
            </w:r>
          </w:p>
        </w:tc>
      </w:tr>
    </w:tbl>
    <w:p>
      <w:pPr>
        <w:pStyle w:val="Title"/>
        <w:jc w:val="center"/>
      </w:pPr>
      <w:r>
        <w:t>ЗАКЛЮЧЕНИЕ О ЗАКОННОСТИ ВЫПЛАТЫ ДЕЙСТВИТЕЛЬНОЙ СТОИМОСТИ ДОЛИ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заключение о законности выплаты действительной стоимости доли,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ГК РФ (статьи 1, 10, 53.1); Постановление Пленума ВС РФ от 15.11.2016 № 48.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Точное описание события, дат, участников и документов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Выделение подтвержденных фактов и спорных предположений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Перечень доказательств и конкретное управленческое или процессуальное решение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законности выплаты действительной стоимости доли</dc:title>
  <dc:subject>21. Корпоративные, банкротные и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