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364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20. Защита бизнеса как потерпевшего</w:t>
            </w:r>
          </w:p>
        </w:tc>
      </w:tr>
    </w:tbl>
    <w:p>
      <w:pPr>
        <w:pStyle w:val="Title"/>
        <w:jc w:val="center"/>
      </w:pPr>
      <w:r>
        <w:t>ЗАЯВЛЕНИЕ О НЕЗАКОННОЙ СМЕНЕ ДИРЕКТОРА ИЛИ УЧАСТНИКОВ ОБЩЕСТВА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Фиксация юридически значимой позиции, сообщения о преступлении либо процессуального требования.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42, 44, 115, 119-125, 140-145); УК РФ - в зависимости от квалификации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ЗАЯВЛЕНИЕ О НЕЗАКОННОЙ СМЕНЕ ДИРЕКТОРА ИЛИ УЧАСТНИКОВ ОБЩЕСТВА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42, 44, 115, 119-125, 140-145); УК РФ - в зависимости от квалификации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Зарегистрировать сообщение в установленном порядке и выдать документ, подтверждающий его принятие.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Провести полную проверку изложенных обстоятельств, истребовать указанные документы и опросить названных лиц.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Принять законное и мотивированное решение и направить его копию заявителю.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Рассмотреть вопрос о признании организации потерпевшей и обеспечении возмещения ущерба.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незаконной смене директора или участников общества</dc:title>
  <dc:subject>20. Защита бизнеса как потерпевшего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