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356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20. Защита бизнеса как потерпевшего</w:t>
            </w:r>
          </w:p>
        </w:tc>
      </w:tr>
    </w:tbl>
    <w:p>
      <w:pPr>
        <w:pStyle w:val="Title"/>
        <w:jc w:val="center"/>
      </w:pPr>
      <w:r>
        <w:t>ЗАЯВЛЕНИЕ О МОШЕННИЧЕСТВЕ В ОТНОШЕНИИ КОМПАНИИ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юридически значимой позиции, сообщения о преступлении либо процессуального требования.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42, 44, 115, 119-125, 140-145); УК РФ - в зависимости от квалификации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ЗАЯВЛЕНИЕ О МОШЕННИЧЕСТВЕ В ОТНОШЕНИИ КОМПАНИИ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Реальность первоначального намерения исполнить обязательство.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Платежи, поставки, переписка и иные признаки фактического исполнения.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Разграничение договорного риска и умышленного хищения.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42, 44, 115, 119-125, 140-145); УК РФ - в зависимости от квалификации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Зарегистрировать сообщение в установленном порядке и выдать документ, подтверждающий его принятие.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Провести полную проверку изложенных обстоятельств, истребовать указанные документы и опросить названных лиц.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Принять законное и мотивированное решение и направить его копию заявителю.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Рассмотреть вопрос о признании организации потерпевшей и обеспечении возмещения ущерба.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мошенничестве в отношении компании</dc:title>
  <dc:subject>20. Защита бизнеса как потерпевшего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