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355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19. Судебное разбирательство и пересмотр приговора</w:t>
            </w:r>
          </w:p>
        </w:tc>
      </w:tr>
    </w:tbl>
    <w:p>
      <w:pPr>
        <w:pStyle w:val="Title"/>
        <w:jc w:val="center"/>
      </w:pPr>
      <w:r>
        <w:t>ЗАЯВЛЕНИЕ О ВОЗМЕЩЕНИИ ВРЕДА РЕАБИЛИТИРОВАННОМУ ЛИЦУ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Фиксация юридически значимой позиции, сообщения о преступлении либо процессуального требования.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229, 234-239, 244, 271, 389.1-389.36, 401.1-401.17)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ЗАЯВЛЕНИЕ О ВОЗМЕЩЕНИИ ВРЕДА РЕАБИЛИТИРОВАННОМУ ЛИЦУ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229, 234-239, 244, 271, 389.1-389.36, 401.1-401.17)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возмещении вреда реабилитированному лицу</dc:title>
  <dc:subject>19. Судебное разбирательство и пересмотр приговора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