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340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19. Судебное разбирательство и пересмотр приговора</w:t>
            </w:r>
          </w:p>
        </w:tc>
      </w:tr>
    </w:tbl>
    <w:p>
      <w:pPr>
        <w:pStyle w:val="Title"/>
        <w:jc w:val="center"/>
      </w:pPr>
      <w:r>
        <w:t>ХОДАТАЙСТВО О ВЫЗОВЕ ЭКСПЕРТА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229, 234-239, 244, 271, 389.1-389.36, 401.1-401.17)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ВЫЗОВЕ ЭКСПЕРТА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Компетенция эксперта и полнота исходных материалов.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Нейтральность и проверяемость поставленных вопросов.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Оценка методики, расчетов и пределов выводов.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229, 234-239, 244, 271, 389.1-389.36, 401.1-401.17)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вызове эксперта</dc:title>
  <dc:subject>19. Судебное разбирательство и пересмотр приговора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