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326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18. Жалобы на действия следствия и дознания</w:t>
            </w:r>
          </w:p>
        </w:tc>
      </w:tr>
    </w:tbl>
    <w:p>
      <w:pPr>
        <w:pStyle w:val="Title"/>
        <w:jc w:val="center"/>
      </w:pPr>
      <w:r>
        <w:t>ЖАЛОБА НА НАРУШЕНИЕ СРОКА РАССМОТРЕНИЯ ХОДАТАЙСТВА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123-125, 6.1)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НА НАРУШЕНИЕ СРОКА РАССМОТРЕНИЯ ХОДАТАЙСТВА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123-125, 6.1)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нарушение срока рассмотрения ходатайства</dc:title>
  <dc:subject>18. Жалобы на действия следствия и дознания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