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17. Прекращение уголовного дела и освобождение от ответственности</w:t>
            </w:r>
          </w:p>
        </w:tc>
      </w:tr>
    </w:tbl>
    <w:p>
      <w:pPr>
        <w:pStyle w:val="Title"/>
        <w:jc w:val="center"/>
      </w:pPr>
      <w:r>
        <w:t>ХОДАТАЙСТВО О ПРИЗНАНИИ ПРАВА НА РЕАБИЛИТАЦИЮ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75, 76, 76.1, 76.2, 78); УПК РФ (статьи 24-28.1, 212-214)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ПРИЗНАНИИ ПРАВА НА РЕАБИЛИТАЦИЮ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75, 76, 76.1, 76.2, 78); УПК РФ (статьи 24-28.1, 212-214)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признании права на реабилитацию</dc:title>
  <dc:subject>17. Прекращение уголовного дела и освобождение от ответственности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