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310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17. Прекращение уголовного дела и освобождение от ответственности</w:t>
            </w:r>
          </w:p>
        </w:tc>
      </w:tr>
    </w:tbl>
    <w:p>
      <w:pPr>
        <w:pStyle w:val="Title"/>
        <w:jc w:val="center"/>
      </w:pPr>
      <w:r>
        <w:t>ЗАЯВЛЕНИЕ ПОТЕРПЕВШЕГО ОБ ОТСУТСТВИИ МАТЕРИАЛЬНЫХ ПРЕТЕНЗИЙ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юридически значимой позиции, сообщения о преступлении либо процессуального требования.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75, 76, 76.1, 76.2, 78); УПК РФ (статьи 24-28.1, 212-214)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ЗАЯВЛЕНИЕ ПОТЕРПЕВШЕГО ОБ ОТСУТСТВИИ МАТЕРИАЛЬНЫХ ПРЕТЕНЗИЙ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УК РФ (статьи 75, 76, 76.1, 76.2, 78); УПК РФ (статьи 24-28.1, 212-214)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потерпевшего об отсутствии материальных претензий</dc:title>
  <dc:subject>17. Прекращение уголовного дела и освобождение от ответственности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