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292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16. Налоговые уголовные риски</w:t>
            </w:r>
          </w:p>
        </w:tc>
      </w:tr>
    </w:tbl>
    <w:p>
      <w:pPr>
        <w:pStyle w:val="Title"/>
        <w:jc w:val="center"/>
      </w:pPr>
      <w:r>
        <w:t>ЗАКЛЮЧЕНИЕ ОБ ОТСУТСТВИИ КОНТРОЛЯ НАД ДЕЙСТВИЯМИ КОНТРАГЕНТА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198-199.4, 76.1); УПК РФ (статьи 28.1, 144-145); НК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об отсутствии контроля над действиями контрагента,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УК РФ (статьи 198-199.4, 76.1); УПК РФ (статьи 28.1, 144-145); НК РФ.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регистрации, полномочий и деловой репутации: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ресурсов для исполнения договора: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Фиксация источников информации и результата проверки: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Проверка регистрации, полномочий и деловой репутации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Проверка ресурсов для исполнения договора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Фиксация источников информации и результата проверки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об отсутствии контроля над действиями контрагента</dc:title>
  <dc:subject>16. Налоговые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