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284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15. Экспертизы, ревизии и финансовые исследования</w:t>
            </w:r>
          </w:p>
        </w:tc>
      </w:tr>
    </w:tbl>
    <w:p>
      <w:pPr>
        <w:pStyle w:val="Title"/>
        <w:jc w:val="center"/>
      </w:pPr>
      <w:r>
        <w:t>АЛЬТЕРНАТИВНЫЙ РАСЧЕТ ПРЕДПОЛАГАЕМОГО УЩЕРБА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57, 58, 195-207)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правоустанавливающие документы; выписки банка и бухгалтерские регистры; оценка последствий ограничения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АЛЬТЕРНАТИВНЫЙ РАСЧЕТ ПРЕДПОЛАГАЕМОГО УЩЕРБА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Связь имущества с предметом расследования.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Соразмерность ограничения предполагаемому ущербу.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Влияние ареста на зарплату, налоги и непрерывность деятельности.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Методика расчета прямого действительного ущерба.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Исключение двойного счета и предположительных потерь.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Связь каждой суммы с конкретным действием.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57, 58, 195-207)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Альтернативный расчет предполагаемого ущерба</dc:title>
  <dc:subject>15. Экспертизы, ревизии и финансовые исследования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