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237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13. Арест имущества и денежных средств</w:t>
            </w:r>
          </w:p>
        </w:tc>
      </w:tr>
    </w:tbl>
    <w:p>
      <w:pPr>
        <w:pStyle w:val="Title"/>
        <w:jc w:val="center"/>
      </w:pPr>
      <w:r>
        <w:t>ХОДАТАЙСТВО О ЧАСТИЧНОМ СНЯТИИ АРЕСТА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115, 115.1, 165); Постановление Пленума ВС РФ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обстоятельства; правоустанавливающие документы; выписки банка и бухгалтерские регистры; оценка последствий ограничения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 ЧАСТИЧНОМ СНЯТИИ АРЕСТА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Связь имущества с предметом расследования.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Соразмерность ограничения предполагаемому ущербу.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Влияние ареста на зарплату, налоги и непрерывность деятельности.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115, 115.1, 165); Постановление Пленума ВС РФ № 48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частичном снятии ареста</dc:title>
  <dc:subject>13. Арест имущества и денежных средств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