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022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02. Корпоративные политики и локальные акты</w:t>
            </w:r>
          </w:p>
        </w:tc>
      </w:tr>
    </w:tbl>
    <w:p>
      <w:pPr>
        <w:pStyle w:val="Title"/>
        <w:jc w:val="center"/>
      </w:pPr>
      <w:r>
        <w:t>АНТИФРОД-ПОЛИТИКА КОМПАНИИ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АНТИФРОД-ПОЛИТИКА КОМПАНИИ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25.12.2008 № 273-ФЗ; Федеральный закон от 29.07.2004 № 98-ФЗ; Федеральный закон от 06.12.2011 № 402-ФЗ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Антифрод-политика компании</dc:title>
  <dc:subject>02. Корпоративные политики и локальные акты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