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218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12. Задержание и меры пресечения</w:t>
            </w:r>
          </w:p>
        </w:tc>
      </w:tr>
    </w:tbl>
    <w:p>
      <w:pPr>
        <w:pStyle w:val="Title"/>
        <w:jc w:val="center"/>
      </w:pPr>
      <w:r>
        <w:t>ГАРАНТИЙНОЕ ПИСЬМО РАБОТОДАТЕЛЯ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91-110); Постановление Пленума ВС РФ от 19.12.2013 № 41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ГАРАНТИЙНОЕ ПИСЬМО РАБОТОДАТЕЛЯ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91-110); Постановление Пленума ВС РФ от 19.12.2013 № 41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Гарантийное письмо работодателя</dc:title>
  <dc:subject>12. Задержание и меры пресечения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