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192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10. Допросы, объяснения и очные ставки</w:t>
            </w:r>
          </w:p>
        </w:tc>
      </w:tr>
    </w:tbl>
    <w:p>
      <w:pPr>
        <w:pStyle w:val="Title"/>
        <w:jc w:val="center"/>
      </w:pPr>
      <w:r>
        <w:t>ПИСЬМЕННАЯ ПОЗИЦИЯ ПЕРЕД ОЧНОЙ СТАВКОЙ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ПИСЬМЕННАЯ ПОЗИЦИЯ ПЕРЕД ОЧНОЙ СТАВКОЙ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перед очной ставкой</dc:title>
  <dc:subject>10. Допросы, объяснения и очные ставки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