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019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ЗАКЛЮЧЕНИЕ О РАЗГРАНИЧЕНИИ ГРАЖДАНСКО-ПРАВОВОГО СПОРА И МОШЕННИЧЕСТВА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 разграничении гражданско-правового спора и мошенничества,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ГК РФ (статьи 1, 10, 53.1); Постановление Пленума ВС РФ от 15.11.2016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Реальность первоначального намерения исполнить обязательство: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Платежи, поставки, переписка и иные признаки фактического исполнения: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Разграничение договорного риска и умышленного хищения: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Реальность первоначального намерения исполнить обязательство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Платежи, поставки, переписка и иные признаки фактического исполнения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Разграничение договорного риска и умышленного хищения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разграничении гражданско-правового спора и мошенничества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