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188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10. Допросы, объяснения и очные ставки</w:t>
            </w:r>
          </w:p>
        </w:tc>
      </w:tr>
    </w:tbl>
    <w:p>
      <w:pPr>
        <w:pStyle w:val="Title"/>
        <w:jc w:val="center"/>
      </w:pPr>
      <w:r>
        <w:t>ЗАЯВЛЕНИЕ О НЕПРАВИЛЬНОМ ИЗЛОЖЕНИИ ПОКАЗАНИЙ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Фиксация юридически значимой позиции, сообщения о преступлении либо процессуального требования.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Лицо, чьи права затронуты; защитник или представитель; организация через уполномоченное лицо.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УПК РФ (статьи 56, 86, 166-167, 187-192); статья 51 Конституции РФ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копии обжалуемых решений и протоколов; доверенность / ордер адвоката; документы, подтверждающие изложенные обстоятельства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386"/>
      </w:tblGrid>
      <w:tr>
        <w:tc>
          <w:tcPr>
            <w:tcW w:type="dxa" w:w="5014"/>
          </w:tcPr>
          <w:p/>
        </w:tc>
        <w:tc>
          <w:tcPr>
            <w:tcW w:type="dxa" w:w="5014"/>
            <w:tcMar>
              <w:top w:w="0" w:type="dxa"/>
              <w:start w:w="80" w:type="dxa"/>
              <w:bottom w:w="0" w:type="dxa"/>
              <w:end w:w="80" w:type="dxa"/>
            </w:tcMar>
          </w:tcPr>
          <w:p>
            <w:r>
              <w:rPr>
                <w:rFonts w:ascii="Times New Roman" w:hAnsi="Times New Roman"/>
                <w:sz w:val="20"/>
              </w:rPr>
              <w:t>В [наименование органа / суда]</w:t>
            </w:r>
          </w:p>
          <w:p>
            <w:r>
              <w:rPr>
                <w:rFonts w:ascii="Times New Roman" w:hAnsi="Times New Roman"/>
                <w:sz w:val="20"/>
              </w:rPr>
              <w:t>Адрес: [___]</w:t>
            </w:r>
          </w:p>
          <w:p>
            <w:r>
              <w:rPr>
                <w:rFonts w:ascii="Times New Roman" w:hAnsi="Times New Roman"/>
                <w:sz w:val="20"/>
              </w:rPr>
              <w:t>По материалу КУСП / делу № [___]</w:t>
            </w:r>
          </w:p>
          <w:p>
            <w:r>
              <w:rPr>
                <w:rFonts w:ascii="Times New Roman" w:hAnsi="Times New Roman"/>
                <w:sz w:val="20"/>
              </w:rPr>
              <w:t>От: [Ф.И.О. / наименование организации]</w:t>
            </w:r>
          </w:p>
          <w:p>
            <w:r>
              <w:rPr>
                <w:rFonts w:ascii="Times New Roman" w:hAnsi="Times New Roman"/>
                <w:sz w:val="20"/>
              </w:rPr>
              <w:t>Статус: [___]</w:t>
            </w:r>
          </w:p>
          <w:p>
            <w:r>
              <w:rPr>
                <w:rFonts w:ascii="Times New Roman" w:hAnsi="Times New Roman"/>
                <w:sz w:val="20"/>
              </w:rPr>
              <w:t>Адрес и контакты: [___]</w:t>
            </w:r>
          </w:p>
          <w:p>
            <w:r>
              <w:rPr>
                <w:rFonts w:ascii="Times New Roman" w:hAnsi="Times New Roman"/>
                <w:sz w:val="20"/>
              </w:rPr>
              <w:t>Представитель / защитник: [___]</w:t>
            </w:r>
          </w:p>
        </w:tc>
      </w:tr>
    </w:tbl>
    <w:p>
      <w:pPr>
        <w:pStyle w:val="Heading1"/>
        <w:jc w:val="center"/>
      </w:pPr>
      <w:r>
        <w:t>ЗАЯВЛЕНИЕ О НЕПРАВИЛЬНОМ ИЗЛОЖЕНИИ ПОКАЗАНИЙ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Процессуальный статус и пределы обязанности отвечать.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Точность формулировок и отсутствие предположений.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Проверка протокола построчно до подписания.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УПК РФ (статьи 56, 86, 166-167, 187-192); статья 51 Конституции РФ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Удовлетворить настоящее ходатайство / заявление.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Приобщить документ и приложения к материалу проверки или уголовному делу.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Проверить изложенные обстоятельства и дать им мотивированную правовую оценку.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Направить заявителю копию принятого процессуального решения.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о неправильном изложении показаний</dc:title>
  <dc:subject>10. Допросы, объяснения и очные ставки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