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127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07. Запросы правоохранительных органов и оперативные мероприятия</w:t>
            </w:r>
          </w:p>
        </w:tc>
      </w:tr>
    </w:tbl>
    <w:p>
      <w:pPr>
        <w:pStyle w:val="Title"/>
        <w:jc w:val="center"/>
      </w:pPr>
      <w:r>
        <w:t>ХОДАТАЙСТВО ОБ ОБЕСПЕЧЕНИИ КОНФИДЕНЦИАЛЬНОСТИ ПЕРЕДАВАЕМОЙ ИНФОРМАЦИИ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ОБЕСПЕЧЕНИИ КОНФИДЕНЦИАЛЬНОСТИ ПЕРЕДАВАЕМОЙ ИНФОРМАЦИИ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обеспечении конфиденциальности передаваемой информации</dc:title>
  <dc:subject>07. Запросы правоохранительных органов и оперативные мероприятия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