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РАСПРЕДЕЛЕНИЯ ДОЛИ МЕЖДУ УЧАСТНИКАМИ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ЕГРЮЛ отражены сведения о принадлежности доли, не соответствующие действительным корпоративным отношениям. Основанием регистрационной записи указан [договор, заявление, решение, свидетельство], действительность которого оспаривается либо который не выражает волю законного правообладателя.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заявитель утратил возможность участвовать в управлении обществом, получать информацию и прибыль. Требование направлено на восстановление положения, существовавшего до нарушения, и приведение публичного реестра в соответствие с действительными правами.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Переход доли в ООО регулируется статьями 21–24 Федерального закона № 14-ФЗ, а способы защиты корпоративных прав – статьями 12, 65.2 и 67 ГК РФ. Для отдельных сделок обязательны нотариальная форма и регистрационные действия.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утрате доли помимо недействительности сделки может применяться специальное требование о восстановлении корпоративного контроля. Суд определяет надлежащих ответчиков, судьбу последующих переходов и конкретные изменения, которые должны быть внесены в ЕГРЮЛ.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