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ПРИЗНАНИИ НЕДЕЙСТВИТЕЛЬНЫМ ПЕРЕХОДА ДОЛИ К ОБЩЕСТВУ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ЕГРЮЛ отражены сведения о принадлежности доли, не соответствующие действительным корпоративным отношениям. Основанием регистрационной записи указан [договор, заявление, решение, свидетельство], действительность которого оспаривается либо который не выражает волю законного правообладателя.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результате заявитель утратил возможность участвовать в управлении обществом, получать информацию и прибыль. Требование направлено на восстановление положения, существовавшего до нарушения, и приведение публичного реестра в соответствие с действительными правами.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Переход доли в ООО регулируется статьями 21–24 Федерального закона № 14-ФЗ, а способы защиты корпоративных прав – статьями 12, 65.2 и 67 ГК РФ. Для отдельных сделок обязательны нотариальная форма и регистрационные действия.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утрате доли помимо недействительности сделки может применяться специальное требование о восстановлении корпоративного контроля. Суд определяет надлежащих ответчиков, судьбу последующих переходов и конкретные изменения, которые должны быть внесены в ЕГРЮЛ.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недействительным [решение / сделку / регистрационное действие] от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восстановить прежнее положение, возвратить имущество / денежные средства, аннулировать записи и корпоративные решения, принятые на основании оспоренного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