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ПЕРЕВОДЕ ПРАВ И ОБЯЗАННОСТЕЙ ПОКУПАТЕЛЯ ДОЛИ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ЕГРЮЛ отражены сведения о принадлежности доли, не соответствующие действительным корпоративным отношениям. Основанием регистрационной записи указан [договор, заявление, решение, свидетельство], действительность которого оспаривается либо который не выражает волю законного правообладателя.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заявитель утратил возможность участвовать в управлении обществом, получать информацию и прибыль. Требование направлено на восстановление положения, существовавшего до нарушения, и приведение публичного реестра в соответствие с действительными правами.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Переход доли в ООО регулируется статьями 21–24 Федерального закона № 14-ФЗ, а способы защиты корпоративных прав – статьями 12, 65.2 и 67 ГК РФ. Для отдельных сделок обязательны нотариальная форма и регистрационные действия.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утрате доли помимо недействительности сделки может применяться специальное требование о восстановлении корпоративного контроля. Суд определяет надлежащих ответчиков, судьбу последующих переходов и конкретные изменения, которые должны быть внесены в ЕГРЮЛ.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