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ОЙ ДАРСТВЕННОЙ НА ДОЛ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ЕГРЮЛ отражены сведения о принадлежности доли, не соответствующие действительным корпоративным отношениям. Основанием регистрационной записи указан [договор, заявление, решение, свидетельство], действительность которого оспаривается либо который не выражает волю законного правообладате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заявитель утратил возможность участвовать в управлении обществом, получать информацию и прибыль. Требование направлено на восстановление положения, существовавшего до нарушения, и приведение публичного реестра в соответствие с действительными пра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возмездная передача доли оформлена при отсутствии намерения дарителя, с использованием поддельной подписи или для обхода ограничений. Доказательства передачи корпоративных прав и принятия дара противоречив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ход доли в ООО регулируется статьями 21–24 Федерального закона № 14-ФЗ, а способы защиты корпоративных прав – статьями 12, 65.2 и 67 ГК РФ. Для отдельных сделок обязательны нотариальная форма и регистрационные дей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утрате доли помимо недействительности сделки может применяться специальное требование о восстановлении корпоративного контроля. Суд определяет надлежащих ответчиков, судьбу последующих переходов и конкретные изменения, которые должны быть внесены в ЕГРЮ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