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ДОГОВОРА КУПЛИ-ПРОДАЖИ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ЕГРЮЛ отражены сведения о принадлежности доли, не соответствующие действительным корпоративным отношениям. Основанием регистрационной записи указан [договор, заявление, решение, свидетельство], действительность которого оспаривается либо который не выражает волю законного правообладателя.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заявитель утратил возможность участвовать в управлении обществом, получать информацию и прибыль. Требование направлено на восстановление положения, существовавшего до нарушения, и приведение публичного реестра в соответствие с действительными правами.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Договор заключён без действительного волеизъявления продавца / с нарушением нотариальной формы / по поддельной доверенности / в результате обмана. Расчёты по договору отсутствуют либо имеют формальный характер.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Переход доли в ООО регулируется статьями 21–24 Федерального закона № 14-ФЗ, а способы защиты корпоративных прав – статьями 12, 65.2 и 67 ГК РФ. Для отдельных сделок обязательны нотариальная форма и регистрационные действия.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утрате доли помимо недействительности сделки может применяться специальное требование о восстановлении корпоративного контроля. Суд определяет надлежащих ответчиков, судьбу последующих переходов и конкретные изменения, которые должны быть внесены в ЕГРЮЛ.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