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ХОДАТАЙСТВО ОБ АРЕСТЕ ИМУЩЕСТВА И СЧЕТОВ ПОЛУЧАТЕЛЯ АКТИВОВ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период корпоративного конфликта имущество, денежные средства, права требования, клиентская база, персонал либо исключительные права общества были переданы [аффилированной организации / участнику / руководителю / третьему лицу]. Передача не имела разумной деловой цели и сопровождалась прекращением или существенным сокращением деятельности общества.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Связь участников схемы подтверждается совпадением руководителей, адресов, работников, контактных данных, контрагентов и последовательностью операций. Экономический результат сосредоточен у получателя активов, тогда как общество лишилось источника дохода.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Сделки и действия по выводу активов оцениваются по статьям 10, 53.1, 166–168, 174, 301–302 и 1102 ГК РФ с учётом конкретного способа защиты. Участник вправе действовать в интересах корпорации в случаях, предусмотренных статьёй 65.2 ГК РФ.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Суд исследует экономическую цель операций, равноценность встречного предоставления, аффилированность, движение денег, фактическое использование активов и возможность их возврата. Способ защиты должен соответствовать характеру нарушения и учитывать права добросовестных приобретателей.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Принять обеспечительные меры и запретить совершение действий в отношении [конкретные регистрационные действия, имущество, доля, акции, банковские операции] до вступления в законную силу итогового судебного акта.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Направить определение для немедленного исполнения в [ФНС / банк / регистратор / Росреестр / общество].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Выдать исполнительный лист либо электронный исполнительный документ, если это требуется для исполнения меры.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Оспариваемый договор и документы его исполнения.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Бухгалтерская отчётность и расчёт стоимости активов.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Отчёт оценщика / заключение специалиста о рыночной стоимости.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12. Документы об аффилированности и движении денежных средств.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